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9056d1_6k.htm"/>
      <w:bookmarkStart w:id="1" w:name="kstm2619056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w:t>
        <w:br/>
        <w:t>13a-16 OR 15d-16 UNDER</w:t>
        <w:b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June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001-38752</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Qfin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Building 1, No. 98 Qingyijiang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Putuo District, Shanghai 200331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  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Index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1080"/>
        <w:jc w:val="left"/>
        <w:rPr/>
      </w:pPr>
      <w:hyperlink w:anchor="tm2619056d1_ex99-1.htm">
        <w:r>
          <w:rPr>
            <w:rStyle w:val="InternetLink"/>
            <w:rFonts w:ascii="Times New Roman;Times;Serif" w:hAnsi="Times New Roman;Times;Serif"/>
            <w:b w:val="false"/>
            <w:i w:val="false"/>
            <w:caps w:val="false"/>
            <w:smallCaps w:val="false"/>
            <w:sz w:val="20"/>
          </w:rPr>
          <w:t>Exhibit 99.1 — Press Release</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1080"/>
        <w:jc w:val="left"/>
        <w:rPr/>
      </w:pPr>
      <w:hyperlink w:anchor="tm2619056d1_ex99-2.htm">
        <w:r>
          <w:rPr>
            <w:rStyle w:val="InternetLink"/>
            <w:rFonts w:ascii="Times New Roman;Times;Serif" w:hAnsi="Times New Roman;Times;Serif"/>
            <w:b w:val="false"/>
            <w:i w:val="false"/>
            <w:caps w:val="false"/>
            <w:smallCaps w:val="false"/>
            <w:sz w:val="20"/>
          </w:rPr>
          <w:t>Exhibit 99.2 — Announcement — Poll Results of the 2026 Annual General Meeting</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145" w:type="dxa"/>
        <w:jc w:val="left"/>
        <w:tblInd w:w="0" w:type="dxa"/>
        <w:tblLayout w:type="fixed"/>
        <w:tblCellMar>
          <w:top w:w="0" w:type="dxa"/>
          <w:left w:w="0" w:type="dxa"/>
          <w:bottom w:w="0" w:type="dxa"/>
          <w:right w:w="0" w:type="dxa"/>
        </w:tblCellMar>
      </w:tblPr>
      <w:tblGrid>
        <w:gridCol w:w="1655"/>
        <w:gridCol w:w="545"/>
        <w:gridCol w:w="2945"/>
      </w:tblGrid>
      <w:tr>
        <w:trPr/>
        <w:tc>
          <w:tcPr>
            <w:tcW w:w="1655" w:type="dxa"/>
            <w:tcBorders/>
            <w:vAlign w:val="center"/>
          </w:tcPr>
          <w:p>
            <w:pPr>
              <w:pStyle w:val="TableContents"/>
              <w:bidi w:val="0"/>
              <w:spacing w:before="0" w:after="283"/>
              <w:jc w:val="left"/>
              <w:rPr/>
            </w:pPr>
            <w:r>
              <w:rPr/>
              <w:t> </w:t>
            </w:r>
          </w:p>
        </w:tc>
        <w:tc>
          <w:tcPr>
            <w:tcW w:w="349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Qfin Holdings, Inc.</w:t>
            </w:r>
          </w:p>
        </w:tc>
      </w:tr>
      <w:tr>
        <w:trPr/>
        <w:tc>
          <w:tcPr>
            <w:tcW w:w="1655" w:type="dxa"/>
            <w:tcBorders/>
            <w:vAlign w:val="center"/>
          </w:tcPr>
          <w:p>
            <w:pPr>
              <w:pStyle w:val="TableContents"/>
              <w:bidi w:val="0"/>
              <w:spacing w:before="0" w:after="283"/>
              <w:jc w:val="left"/>
              <w:rPr/>
            </w:pPr>
            <w:r>
              <w:rPr/>
              <w:t> </w:t>
            </w:r>
          </w:p>
        </w:tc>
        <w:tc>
          <w:tcPr>
            <w:tcW w:w="3490" w:type="dxa"/>
            <w:gridSpan w:val="2"/>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Alex Xu</w:t>
            </w:r>
          </w:p>
        </w:tc>
      </w:tr>
      <w:tr>
        <w:trPr/>
        <w:tc>
          <w:tcPr>
            <w:tcW w:w="165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Alex Xu</w:t>
            </w:r>
          </w:p>
        </w:tc>
      </w:tr>
      <w:tr>
        <w:trPr/>
        <w:tc>
          <w:tcPr>
            <w:tcW w:w="165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and Chief Financial Officer</w:t>
            </w:r>
          </w:p>
        </w:tc>
      </w:tr>
      <w:tr>
        <w:trPr/>
        <w:tc>
          <w:tcPr>
            <w:tcW w:w="1655" w:type="dxa"/>
            <w:tcBorders/>
            <w:vAlign w:val="center"/>
          </w:tcPr>
          <w:p>
            <w:pPr>
              <w:pStyle w:val="TableContents"/>
              <w:bidi w:val="0"/>
              <w:spacing w:before="0" w:after="283"/>
              <w:jc w:val="left"/>
              <w:rPr/>
            </w:pPr>
            <w:r>
              <w:rPr/>
              <w:t> </w:t>
            </w:r>
          </w:p>
        </w:tc>
        <w:tc>
          <w:tcPr>
            <w:tcW w:w="3490" w:type="dxa"/>
            <w:gridSpan w:val="2"/>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June 30, 2026</w:t>
            </w:r>
          </w:p>
        </w:tc>
        <w:tc>
          <w:tcPr>
            <w:tcW w:w="3490" w:type="dxa"/>
            <w:gridSpan w:val="2"/>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 w:name="tm2619056d1_ex99-1.htm"/>
      <w:bookmarkStart w:id="3" w:name="kstm2619056d1_ex991"/>
      <w:bookmarkEnd w:id="2"/>
      <w:bookmarkEnd w:id="3"/>
      <w:r>
        <w:rPr>
          <w:b/>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Qfin Holdings Announces Results of Annual General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China, June 30, 2026, Qfin Holdings, Inc. (NASDAQ: QFIN; HKEx: 3660) (“Qfin Holdings” or the “Company”), a leading AI-empowered Credit-Tech platform in China, today announced that the following proposed resolution submitted for shareholder approval has been duly adopted at its annual general meeting of shareholders held today: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ordinary resolution, THAT, Deloitte Touche Tohmatsu and Deloitte Touche Tohmatsu Certified Public Accountants LLP shall be re-appointed as the auditors of the Company to hold office until the conclusion of the next annual general meeting of the Company and to authorize the board of directors of the Company to fix their remuneration for the year ending December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About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Qfin Holdings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Qfin Holdings is a leading AI-empowered Credit-Tech platform in China. By leveraging its sophisticated machine learning models and data analytics capabilities, the Company provides a comprehensive suite of technology services to assist financial institutions and consumers and SMEs in the loan lifecycle, ranging from borrower acquisition, preliminary credit assessment, fund matching and post-facilitation services. The Company is dedicated to making credit services more accessible and personalized to consumers and SMEs through Credit-Tech services to financial institutions.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visit: https://ir.qfin.com.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forward-looking statements contained in this announcement are made under the “safe harbor” provisions of the U.S. Private Securities Litigation Reform Act of 1995. Forward-looking statements can be identified by terminology such as “will,” “expects,” “anticipates,” “future,” “intends,” “plans,” “believes,” “estimates” and similar statements. Among other things, the business outlook and quotations from management in this announcement, as well as the Company’s strategic and operational plans, contain forward-looking statements. Qfin Holdings may also make written or oral forward-looking statements in its periodic reports to the U.S. Securities and Exchange Commission (“SEC”), in announcements made on the website of The Stock Exchange of Hong Kong Limited (the “Hong Kong Stock Exchange”), in its annual report to shareholders, in press releases and other written materials and in oral statements made by its officers, directors or employees to third parties. Statements that are not historical facts, including the Company’s business outlook, beliefs and expectations, are forward-looking statements. Forward-looking statements involve inherent risks and uncertainties. A number of factors could cause actual results to differ materially from those contained in any forward-looking statement, which factors include but not limited to the following: the Company’s growth strategies, changes in laws, rules and regulatory environments, the recognition of the Company’s brand, market acceptance of the Company’s products and services, trends and developments in the credit-tech industry, governmental policies relating to the credit-tech industry, general economic conditions in China and around the globe, and assumptions underlying or related to any of the foregoing. Further information regarding these and other risks and uncertainties is included in Qfin Holdings’ filings with the SEC and announcements on the website of the Hong Kong Stock Exchange. All information provided in this press release is as of the date of this press release, and Qfin Holdings does not undertake any obligation to update any forward-looking statement,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more information, please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Qfin Holdings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ir@qfin.com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4" w:name="tm2619056d1_ex99-2.htm"/>
      <w:bookmarkStart w:id="5" w:name="kstm2619056d1_ex992"/>
      <w:bookmarkEnd w:id="4"/>
      <w:bookmarkEnd w:id="5"/>
      <w:r>
        <w:rPr/>
        <w:t> </w:t>
      </w:r>
      <w:r>
        <w:br w:type="page"/>
      </w:r>
    </w:p>
    <w:p>
      <w:pPr>
        <w:pStyle w:val="TextBody"/>
        <w:bidi w:val="0"/>
        <w:jc w:val="right"/>
        <w:rPr>
          <w:b/>
        </w:rPr>
      </w:pPr>
      <w:r>
        <w:rPr>
          <w:b/>
        </w:rPr>
        <w:t>Exhibit 99.2</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190750" cy="1085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90750" cy="10858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Qfin Holdings, Inc.</w:t>
      </w:r>
    </w:p>
    <w:p>
      <w:pPr>
        <w:pStyle w:val="TextBody"/>
        <w:bidi w:val="0"/>
        <w:spacing w:before="0" w:after="0"/>
        <w:jc w:val="center"/>
        <w:rPr>
          <w:rFonts w:eastAsia="Times New Roman;Times;Serif"/>
          <w:b/>
          <w:i w:val="false"/>
          <w:caps w:val="false"/>
          <w:smallCaps w:val="false"/>
          <w:sz w:val="20"/>
        </w:rPr>
      </w:pPr>
      <w:r>
        <w:rPr>
          <w:rFonts w:eastAsia="Times New Roman;Times;Serif"/>
          <w:b/>
          <w:i w:val="false"/>
          <w:caps w:val="false"/>
          <w:smallCaps w:val="false"/>
          <w:sz w:val="20"/>
        </w:rPr>
        <w:t>奇富科技股份有限公司</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(Incorporated in the Cayman Islands with limited liability)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Code: 3660)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POLL RESULTS OF THE 2026 ANNUAL GENERAL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Qfin Holdings,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is pleased to announce that resolution as set out in the notice of the 2026 annual general meeting of shareholders of the Company dated May 12, 2026 was duly passed at our 2026 annual general meeting of the Company held on June 30, 2026.</w:t>
      </w:r>
    </w:p>
    <w:p>
      <w:pPr>
        <w:pStyle w:val="TextBody"/>
        <w:bidi w:val="0"/>
        <w:spacing w:before="0" w:after="0"/>
        <w:ind w:left="0" w:right="0" w:hanging="0"/>
        <w:jc w:val="left"/>
        <w:rPr>
          <w:caps w:val="false"/>
          <w:smallCaps w:val="false"/>
        </w:rPr>
      </w:pPr>
      <w:r>
        <w:rPr>
          <w:caps w:val="false"/>
          <w:smallCaps w:val="false"/>
        </w:rPr>
        <w:t> </w:t>
      </w:r>
    </w:p>
    <w:tbl>
      <w:tblPr>
        <w:tblW w:w="2015" w:type="dxa"/>
        <w:jc w:val="left"/>
        <w:tblInd w:w="0" w:type="dxa"/>
        <w:tblLayout w:type="fixed"/>
        <w:tblCellMar>
          <w:top w:w="0" w:type="dxa"/>
          <w:left w:w="0" w:type="dxa"/>
          <w:bottom w:w="0" w:type="dxa"/>
          <w:right w:w="0" w:type="dxa"/>
        </w:tblCellMar>
      </w:tblPr>
      <w:tblGrid>
        <w:gridCol w:w="75"/>
        <w:gridCol w:w="1940"/>
      </w:tblGrid>
      <w:tr>
        <w:trPr/>
        <w:tc>
          <w:tcPr>
            <w:tcW w:w="75"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w:t>
            </w:r>
          </w:p>
        </w:tc>
      </w:tr>
      <w:tr>
        <w:trPr/>
        <w:tc>
          <w:tcPr>
            <w:tcW w:w="75"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Qfin Holdings, Inc.</w:t>
            </w:r>
          </w:p>
        </w:tc>
      </w:tr>
      <w:tr>
        <w:trPr/>
        <w:tc>
          <w:tcPr>
            <w:tcW w:w="75"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Haisheng Wu</w:t>
            </w:r>
          </w:p>
        </w:tc>
      </w:tr>
      <w:tr>
        <w:trPr/>
        <w:tc>
          <w:tcPr>
            <w:tcW w:w="75"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at the date of this announcement, the board of directors of the Company comprises Mr. Haisheng Wu and Mr. Alex Zuoli Xu as Directors; and Mr. Gang Xiao, Mr. Andrew Y Yan, Mr. Fan Zhao, Mr. Eric Xiaohuan Chen, Mr. Xiangge Liu and Ms. Jiao Jiao as Independent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903</Words>
  <Characters>5073</Characters>
  <CharactersWithSpaces>5997</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