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873d1_6k.htm"/>
      <w:bookmarkStart w:id="1" w:name="kstm262387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001-38752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Qfin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 No. 98 Qingyijiang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Putuo District, Shanghai 200331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90" w:right="0" w:hanging="1001"/>
        <w:jc w:val="left"/>
        <w:rPr/>
      </w:pPr>
      <w:hyperlink w:anchor="tm2623873d1_ex99-1.htm">
        <w:r>
          <w:rPr>
            <w:rStyle w:val="InternetLink"/>
            <w:rFonts w:ascii="Times New Roman;Times;Serif" w:hAnsi="Times New Roman;Times;Serif"/>
            <w:b w:val="false"/>
            <w:i w:val="false"/>
            <w:caps w:val="false"/>
            <w:smallCaps w:val="false"/>
            <w:sz w:val="20"/>
          </w:rPr>
          <w:t>Exhibit 99.1 — Press Release</w:t>
        </w:r>
      </w:hyperlink>
    </w:p>
    <w:p>
      <w:pPr>
        <w:pStyle w:val="TextBody"/>
        <w:bidi w:val="0"/>
        <w:spacing w:before="0" w:after="0"/>
        <w:ind w:left="990" w:right="0" w:hanging="1001"/>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990" w:right="0" w:hanging="1001"/>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865"/>
        <w:gridCol w:w="545"/>
        <w:gridCol w:w="2945"/>
      </w:tblGrid>
      <w:tr>
        <w:trPr/>
        <w:tc>
          <w:tcPr>
            <w:tcW w:w="186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b/>
                <w:sz w:val="20"/>
              </w:rPr>
            </w:pPr>
            <w:r>
              <w:rPr>
                <w:b/>
                <w:sz w:val="20"/>
              </w:rPr>
              <w:t>Qfin Holdings, Inc.</w:t>
            </w:r>
          </w:p>
        </w:tc>
      </w:tr>
      <w:tr>
        <w:trPr/>
        <w:tc>
          <w:tcPr>
            <w:tcW w:w="186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Alex Xu</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945" w:type="dxa"/>
            <w:tcBorders/>
            <w:vAlign w:val="center"/>
          </w:tcPr>
          <w:p>
            <w:pPr>
              <w:pStyle w:val="TableContents"/>
              <w:bidi w:val="0"/>
              <w:spacing w:before="0" w:after="283"/>
              <w:jc w:val="left"/>
              <w:rPr>
                <w:sz w:val="20"/>
              </w:rPr>
            </w:pPr>
            <w:r>
              <w:rPr>
                <w:sz w:val="20"/>
              </w:rPr>
              <w:t>Alex Xu</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945" w:type="dxa"/>
            <w:tcBorders/>
            <w:vAlign w:val="center"/>
          </w:tcPr>
          <w:p>
            <w:pPr>
              <w:pStyle w:val="TableContents"/>
              <w:bidi w:val="0"/>
              <w:spacing w:before="0" w:after="283"/>
              <w:jc w:val="left"/>
              <w:rPr>
                <w:sz w:val="20"/>
              </w:rPr>
            </w:pPr>
            <w:r>
              <w:rPr>
                <w:sz w:val="20"/>
              </w:rPr>
              <w:t>Director and Chief Financial Officer</w:t>
            </w:r>
          </w:p>
        </w:tc>
      </w:tr>
      <w:tr>
        <w:trPr/>
        <w:tc>
          <w:tcPr>
            <w:tcW w:w="186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25, 2026</w:t>
            </w:r>
          </w:p>
        </w:tc>
        <w:tc>
          <w:tcPr>
            <w:tcW w:w="34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 w:name="tm2623873d1_ex99-1.htm"/>
      <w:bookmarkStart w:id="3" w:name="kstm262387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firstLine="108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Qfin Holdings Announces Second Quarter and Interim 2026 Unaudited Financial Results and Declares Semi-Annual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August 25, 2026, Qfin Holdings, Inc. (NASDAQ: QFIN; HKEx: 3660) (“Qfin Holdings” or the “Company”), a leading AI-empowered Credit-Tech platform in China, today announced its unaudited financial results for the second quarter and six months ended June 30, 2026 and declared its semi-annual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Business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color w:val="000000"/>
                <w:sz w:val="20"/>
              </w:rPr>
            </w:pPr>
            <w:r>
              <w:rPr>
                <w:rFonts w:ascii="Symbol" w:hAnsi="Symbol"/>
                <w:color w:val="000000"/>
                <w:sz w:val="20"/>
              </w:rPr>
              <w:t>·</w:t>
            </w:r>
          </w:p>
        </w:tc>
        <w:tc>
          <w:tcPr>
            <w:tcW w:w="10058" w:type="dxa"/>
            <w:tcBorders/>
            <w:vAlign w:val="center"/>
          </w:tcPr>
          <w:p>
            <w:pPr>
              <w:pStyle w:val="TableContents"/>
              <w:bidi w:val="0"/>
              <w:spacing w:before="0" w:after="283"/>
              <w:jc w:val="both"/>
              <w:rPr/>
            </w:pPr>
            <w:r>
              <w:rPr/>
              <w:t>As of June 30, 2026, our platform has connected 168 financial institutional partners and 301.8 million consumers</w:t>
            </w:r>
            <w:r>
              <w:rPr>
                <w:position w:val="8"/>
                <w:sz w:val="19"/>
              </w:rPr>
              <w:t>*1</w:t>
            </w:r>
            <w:r>
              <w:rPr/>
              <w:t xml:space="preserve"> with potential credit needs, cumulatively, an increase of 9.4% from 275.8 million a year ago.</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Cumulative users with approved credit lines</w:t>
            </w:r>
            <w:r>
              <w:rPr>
                <w:position w:val="8"/>
                <w:sz w:val="19"/>
              </w:rPr>
              <w:t>*2</w:t>
            </w:r>
            <w:r>
              <w:rPr/>
              <w:t xml:space="preserve"> were 65.6 million as of June 30, 2026, an increase of 9.0% from 60.2 million as of June 30,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Cumulative borrowers with successful drawdown, including repeat borrowers, was 39.9 million as of June 30, 2026, an increase of 8.5% from 36.8 million as of June 30,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second quarter of 2026, financial institutional partners originated 11,554,533 loans</w:t>
            </w:r>
            <w:r>
              <w:rPr>
                <w:position w:val="8"/>
                <w:sz w:val="19"/>
              </w:rPr>
              <w:t>*3</w:t>
            </w:r>
            <w:r>
              <w:rPr/>
              <w:t xml:space="preserve"> through our platform.</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facilitation and origination loan volume</w:t>
            </w:r>
            <w:r>
              <w:rPr>
                <w:position w:val="8"/>
                <w:sz w:val="19"/>
              </w:rPr>
              <w:t>*4</w:t>
            </w:r>
            <w:r>
              <w:rPr/>
              <w:t xml:space="preserve"> was RMB63,377 million, a decrease of 25.1% from RMB84,609 million in the same period of 2025. RMB31,343 million of such loan volume was under capital-light model, Intelligence Credit Engine (“ICE”) and total technology solutions</w:t>
            </w:r>
            <w:r>
              <w:rPr>
                <w:position w:val="8"/>
                <w:sz w:val="19"/>
              </w:rPr>
              <w:t>*5</w:t>
            </w:r>
            <w:r>
              <w:rPr/>
              <w:t>, a decrease of 10.5% from RMB35,032 million in the same period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outstanding loan balance</w:t>
            </w:r>
            <w:r>
              <w:rPr>
                <w:position w:val="8"/>
                <w:sz w:val="19"/>
              </w:rPr>
              <w:t>*6</w:t>
            </w:r>
            <w:r>
              <w:rPr/>
              <w:t xml:space="preserve"> was RMB107,562 million as of June 30, 2026, a decrease of 23.2% from RMB140,080 million as of June 30, 2025. RMB53,983 million of such loan balance was under capital-light model, “ICE” and total technology solutions, a decrease of 24.5% from RMB71,530 million as of June 30,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weighted average contractual tenor of loans originated by financial institutions across our platform in the second quarter of 2026 was approximately 11.6 months, compared with 10.3 months in the same period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90 day+ delinquency rate</w:t>
            </w:r>
            <w:r>
              <w:rPr>
                <w:position w:val="8"/>
                <w:sz w:val="19"/>
              </w:rPr>
              <w:t>*7</w:t>
            </w:r>
            <w:r>
              <w:rPr/>
              <w:t xml:space="preserve"> of loans originated by financial institutions across our platform was 2.83% as of June 30,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Repeat borrower contribution</w:t>
            </w:r>
            <w:r>
              <w:rPr>
                <w:position w:val="8"/>
                <w:sz w:val="19"/>
              </w:rPr>
              <w:t>*8</w:t>
            </w:r>
            <w:r>
              <w:rPr/>
              <w:t xml:space="preserve"> of loans originated by financial institutions across our platform for the second quarter of 2026 was 89.4%.</w:t>
            </w:r>
          </w:p>
        </w:tc>
      </w:tr>
    </w:tbl>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Refers to cumulative registered users across our platform.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“Cumulative users with approved credit lines” refers to the total number of users who had submitted their credit applications and were approved with a credit line at the end of each period.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Including 742,821 loans across “V-pocket”, and 10,811,712 loans across other products.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Refers to the total principal amount of loans facilitated and originated during the given period.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“ICE” is an open platform primarily on our “Qifu Jietiao” APP (previously known as “360 Jietiao”), we match borrowers and financial institutions through big data and cloud computing technology on “ICE”, and provide pre-loan investigation report of borrowers. For loans facilitated through “ICE”, the Company does not bear principal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total technology solutions, we have been offering end-to-end technology solutions to financial institutions based on on-premise deployment, SaaS or hybrid model since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“Total outstanding loan balance” refers to the total amount of principal outstanding for loans facilitated and originated at the end of each period, excluding loans delinquent for more than 180 days.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“90 day+ delinquency rate” refers to the outstanding principal balance of on- and off-balance sheet loans that were 91 to 180 calendar days past due as a percentage of the total outstanding principal balance of on- and off-balance sheet loans across our platform as of a specific date. Loans that are charged-off and loans under “ICE” and total technology solutions are not included in the delinquency rate calculation.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“Repeat borrower contribution” for a given period refers to (i) the principal amount of loans borrowed during that period by borrowers who had historically made at least one successful drawdown, divided by (ii) the total loan facilitation and origination volume through our platform during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1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net revenue was RMB3,566.6 million (US$525.6 million), compared to RMB3,909.3 million in the prior quarter.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income was RMB401.4 million (US$59.2 million), compared to RMB879.8 million in the prior quarter.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Non-GAAP</w:t>
            </w:r>
            <w:r>
              <w:rPr>
                <w:position w:val="8"/>
                <w:sz w:val="19"/>
              </w:rPr>
              <w:t>*9</w:t>
            </w:r>
            <w:r>
              <w:rPr/>
              <w:t xml:space="preserve"> net income was RMB454.9 million (US$67.0 million), compared to RMB945.9 million in the prior quarter.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income per fully diluted American depositary share (“ADS”) was RMB3.28 (US$0.48), compared to RMB7.16 in the prior quarter.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Non-GAAP net income per fully diluted ADS was RMB3.72 (US$0.55), compared to RMB7.70 in the prior quarter.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Non-GAAP income from operations, Non-GAAP net income, Non-GAAP net income attributed to the Company, Non-GAAP operating margin, Non-GAAP net income margin and Non-GAAP net income per fully diluted ADS are Non-GAAP financial measures. For more information on these Non-GAAP financial measures, please see the section of “Use of Non-GAAP Financial Measures Statement” and the table captioned “Unaudited Reconciliations of GAAP and Non-GAAP Results” set forth at the end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Haisheng Wu, Chief Executive Officer and Director of Qfin Holdings, commented, “In the second quarter, we navigated a challenging market environment marked by continued industry contraction, tighter regulatory oversight, and a sudden industry-wide liquidity shock in late June. Despite these headwinds, we made steady progress in solidifying our user base, refining our risk models, and enhancing operational efficiency, and delivered improved risk and operational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expect industry adjustments to continue, with funding conditions and risk management likely to remain under pressure. In response, we will adopt an even more prudent approach to growth, risk, and capital allocation to preserve our resilience through the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advancing our overseas expansion strategy with discipline, carefully calibrating risk and capital deployment to ensure attractive returns. At the same time, we are transforming into an AI-native organization—not only to drive efficiency, but to create lasting organizational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industry undergoes its inevitable shakeout, we are confident that our disciplined approach will position us not just to endure, but to emerge stronger after the dust settles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industry adjustment deepens and market volatility increases, we maintained an unwavering focus on asset quality and operational efficiency. In the quarter, total net revenue reached RMB3.57 billion, with Non-GAAP net income of RMB454.9 million,” Mr. Alex Xu, Chief Financial Officer, commented. “We generated RMB1.1 billion in cash from operations. Total cash</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and short-term investment stood at approximately RMB10.6 billion at the end of the second quarter. Our strong financial position gives us the flexibility to navigate this challenging market environment and advance our long-term growth strategy. At the same time, we are taking a more prudent approach to capital deployment, with a continued focus on operational refinement to drive better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Yan Zheng, Chief Risk Officer, added, “In this quarter, we delivered steady improvement in our risk metrics, reflecting our ongoing efforts to adapt and strengthen our risk strategies amid shifting market conditions. Among key leading indicators, Day-1 delinquency rate</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was 5.6% in the second quarter, and 30-day collection rate</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was 88.1%. In recent months, with industry-wide funding constraints driving up risk volatility, we are responding decisively—tightening our risk standards, upgrading our user mix, and fine-tuning our collection efforts to reduce our overall risk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Including “Cash and cash equivalents”, “Restricted cash” and “Security deposit prepaid to third-party guarantee companies”.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“Day-1 delinquency rate” is defined as (i) the total amount of principal that became overdue as of a specified date, divided by (ii) the total amount of principal that was due for repayment as of such specified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“30-day collection rate” is defined as (i) the amount of principal that was repaid in one month among the total amount of principal that became overdue as of a specified date, divided by (ii) the total amount of principal that became overdue as of such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Total net revenue </w:t>
      </w:r>
      <w:r>
        <w:rPr>
          <w:rFonts w:ascii="Times New Roman;Times;Serif" w:hAnsi="Times New Roman;Times;Serif"/>
          <w:b w:val="false"/>
          <w:i w:val="false"/>
          <w:caps w:val="false"/>
          <w:smallCaps w:val="false"/>
          <w:sz w:val="20"/>
        </w:rPr>
        <w:t>was RMB3,566.6 million (US$525.6 million), compared to RMB5,215.9 million in the same period of 2025, and RMB3,909.3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Net revenue from Credit Driven Services</w:t>
      </w:r>
      <w:r>
        <w:rPr>
          <w:rFonts w:ascii="Times New Roman;Times;Serif" w:hAnsi="Times New Roman;Times;Serif"/>
          <w:b w:val="false"/>
          <w:i w:val="false"/>
          <w:caps w:val="false"/>
          <w:smallCaps w:val="false"/>
          <w:sz w:val="20"/>
        </w:rPr>
        <w:t xml:space="preserve"> was RMB2,596.7 million (US$382.7 million), compared to RMB3,565.5 million in the same period of 2025, and RMB2,957.4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Loan facilitation and servicing fees-capital heavy</w:t>
      </w:r>
      <w:r>
        <w:rPr>
          <w:rFonts w:ascii="Times New Roman;Times;Serif" w:hAnsi="Times New Roman;Times;Serif"/>
          <w:b w:val="false"/>
          <w:i w:val="false"/>
          <w:caps w:val="false"/>
          <w:smallCaps w:val="false"/>
          <w:sz w:val="20"/>
        </w:rPr>
        <w:t xml:space="preserve"> were RMB74.4 million (US$11.0 million), compared to RMB460.9 million in the same period of 2025 and RMB136.2 million in the prior quarter. The year-over-year and sequential decreases were primarily due to lower capital-heavy loan facilitation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2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Financing income</w:t>
      </w:r>
      <w:r>
        <w:rPr>
          <w:rFonts w:ascii="Times New Roman;Times;Serif" w:hAnsi="Times New Roman;Times;Serif"/>
          <w:b w:val="false"/>
          <w:i/>
          <w:caps w:val="false"/>
          <w:smallCaps w:val="false"/>
          <w:color w:val="000000"/>
          <w:position w:val="7"/>
          <w:sz w:val="16"/>
          <w:sz w:val="20"/>
        </w:rPr>
        <w:t>*13</w:t>
      </w:r>
      <w:r>
        <w:rPr>
          <w:rFonts w:ascii="Times New Roman;Times;Serif" w:hAnsi="Times New Roman;Times;Serif"/>
          <w:b w:val="false"/>
          <w:i w:val="false"/>
          <w:caps w:val="false"/>
          <w:smallCaps w:val="false"/>
          <w:sz w:val="20"/>
        </w:rPr>
        <w:t xml:space="preserve"> was RMB1,839.9 million (US$271.2 million), compared to RMB2,205.0 million in the same period of 2025 and RMB2,021.6 million in the prior quarter. The year-over-year decrease was primarily due to lower loan pricing, partially offset by growth in the average outstanding balance of on-balance-sheet loans. The sequential decrease was mainly driven by declines in both the average outstanding balance and pricing of on-balance-sheet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 xml:space="preserve">Revenue from releasing of guarantee liabilities </w:t>
      </w:r>
      <w:r>
        <w:rPr>
          <w:rFonts w:ascii="Times New Roman;Times;Serif" w:hAnsi="Times New Roman;Times;Serif"/>
          <w:b w:val="false"/>
          <w:i w:val="false"/>
          <w:caps w:val="false"/>
          <w:smallCaps w:val="false"/>
          <w:sz w:val="20"/>
        </w:rPr>
        <w:t>was RMB658.7 million (US$97.1 million), compared to RMB805.3 million in the same period of 2025, and RMB752.6 million in the prior quarter. The year-over-year and sequential decreases were mainly due to the decreases in average outstanding balance of off-balance-sheet capital-heavy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Other services fees</w:t>
      </w:r>
      <w:r>
        <w:rPr>
          <w:rFonts w:ascii="Times New Roman;Times;Serif" w:hAnsi="Times New Roman;Times;Serif"/>
          <w:b w:val="false"/>
          <w:i w:val="false"/>
          <w:caps w:val="false"/>
          <w:smallCaps w:val="false"/>
          <w:sz w:val="20"/>
        </w:rPr>
        <w:t xml:space="preserve"> were RMB23.8 million (US$3.5 million), compared to RMB94.5 million in the same period of 2025, and RMB47.0 million in the prior quarter. The year-over-year and sequential decreases were primarily due to the decline in the late payment fees under the credit driven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Net revenue from Platform Services</w:t>
      </w:r>
      <w:r>
        <w:rPr>
          <w:rFonts w:ascii="Times New Roman;Times;Serif" w:hAnsi="Times New Roman;Times;Serif"/>
          <w:b w:val="false"/>
          <w:i w:val="false"/>
          <w:caps w:val="false"/>
          <w:smallCaps w:val="false"/>
          <w:sz w:val="20"/>
        </w:rPr>
        <w:t xml:space="preserve"> was RMB969.8 million (US$142.9 million), compared to RMB1,650.3 million in the same period of 2025 and RMB951.9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 xml:space="preserve">Loan facilitation and servicing fees-capital light </w:t>
      </w:r>
      <w:r>
        <w:rPr>
          <w:rFonts w:ascii="Times New Roman;Times;Serif" w:hAnsi="Times New Roman;Times;Serif"/>
          <w:b w:val="false"/>
          <w:i w:val="false"/>
          <w:caps w:val="false"/>
          <w:smallCaps w:val="false"/>
          <w:sz w:val="20"/>
        </w:rPr>
        <w:t>were RMB201.7 million (US$29.7 million), compared to RMB326.8 million in the same period of 2025 and RMB211.1 million in the prior quarter. The year-over-year decrease was primarily due to the decline in the average outstanding balance of capital-light loans and the lower revenue sharing ratio. The sequential decrease was mainly due to the lower revenue sharing ratio, partially offset by higher capital-light loan facilitation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Referral services fees</w:t>
      </w:r>
      <w:r>
        <w:rPr>
          <w:rFonts w:ascii="Times New Roman;Times;Serif" w:hAnsi="Times New Roman;Times;Serif"/>
          <w:b w:val="false"/>
          <w:i w:val="false"/>
          <w:caps w:val="false"/>
          <w:smallCaps w:val="false"/>
          <w:sz w:val="20"/>
        </w:rPr>
        <w:t xml:space="preserve"> were RMB370.8 million (US$54.6 million), compared to RMB986.4 million in the same period of 2025 and RMB475.7 million in the prior quarter. The year-over-year and sequential decreases were primarily driven by the decline in loan facilitation volume through 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Other services fees</w:t>
      </w:r>
      <w:r>
        <w:rPr>
          <w:rFonts w:ascii="Times New Roman;Times;Serif" w:hAnsi="Times New Roman;Times;Serif"/>
          <w:b w:val="false"/>
          <w:i w:val="false"/>
          <w:caps w:val="false"/>
          <w:smallCaps w:val="false"/>
          <w:sz w:val="20"/>
        </w:rPr>
        <w:t xml:space="preserve"> were RMB397.4 million (US$58.6 million), compared to RMB337.1 million in the same period of 2025 and RMB265.2 million in the prior quarter. The year-over-year and sequential increases were mainly due to the increase in other post-loan services under the platform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Total operating costs and expenses</w:t>
      </w:r>
      <w:r>
        <w:rPr>
          <w:rFonts w:ascii="Times New Roman;Times;Serif" w:hAnsi="Times New Roman;Times;Serif"/>
          <w:b w:val="false"/>
          <w:i w:val="false"/>
          <w:caps w:val="false"/>
          <w:smallCaps w:val="false"/>
          <w:sz w:val="20"/>
        </w:rPr>
        <w:t xml:space="preserve"> were RMB2,405.6 million (US$354.5 million), compared to RMB3,079.7 million in the same period of 2025 and RMB2,930.5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Facilitation, origination and servicing expenses</w:t>
      </w:r>
      <w:r>
        <w:rPr>
          <w:rFonts w:ascii="Times New Roman;Times;Serif" w:hAnsi="Times New Roman;Times;Serif"/>
          <w:b w:val="false"/>
          <w:i w:val="false"/>
          <w:caps w:val="false"/>
          <w:smallCaps w:val="false"/>
          <w:sz w:val="20"/>
        </w:rPr>
        <w:t xml:space="preserve"> were RMB676.1 million (US$99.6 million), compared to RMB781.0 million in the same period of 2025 and RMB817.3 million in the prior quarter. The year-over-year decrease was in line with the changes in total loan facilitation volume. The sequential decrease was mainly driven by lower collection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 xml:space="preserve">Funding costs </w:t>
      </w:r>
      <w:r>
        <w:rPr>
          <w:rFonts w:ascii="Times New Roman;Times;Serif" w:hAnsi="Times New Roman;Times;Serif"/>
          <w:b w:val="false"/>
          <w:i w:val="false"/>
          <w:caps w:val="false"/>
          <w:smallCaps w:val="false"/>
          <w:sz w:val="20"/>
        </w:rPr>
        <w:t>were RMB129.0 million (US$19.0 million), compared to RMB142.1 million in the same period of 2025 and RMB128.3 million in the prior quarter. The year-over-year decrease was mainly due to lower average costs of ABS issuance and the decline in funding from ABS.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 xml:space="preserve">Sales and marketing expenses </w:t>
      </w:r>
      <w:r>
        <w:rPr>
          <w:rFonts w:ascii="Times New Roman;Times;Serif" w:hAnsi="Times New Roman;Times;Serif"/>
          <w:b w:val="false"/>
          <w:i w:val="false"/>
          <w:caps w:val="false"/>
          <w:smallCaps w:val="false"/>
          <w:sz w:val="20"/>
        </w:rPr>
        <w:t>were RMB396.8 million (US$58.5 million), compared to RMB662.7 million in the same period of 2025 and RMB455.9 million in the prior quarter. The year-over-year and sequential decreases were primarily due to our prudent approach to customer acquisition amid challenging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General and administrative expenses</w:t>
      </w:r>
      <w:r>
        <w:rPr>
          <w:rFonts w:ascii="Times New Roman;Times;Serif" w:hAnsi="Times New Roman;Times;Serif"/>
          <w:b w:val="false"/>
          <w:i w:val="false"/>
          <w:caps w:val="false"/>
          <w:smallCaps w:val="false"/>
          <w:sz w:val="20"/>
        </w:rPr>
        <w:t xml:space="preserve"> were RMB136.6 million (US$20.1 million), compared to RMB175.9 million in the same period of 2025 and RMB158.6 million in the prior quarter. The year-over-year and sequential decreases were mainly due to the decline in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 xml:space="preserve">Provision for loans receivable </w:t>
      </w:r>
      <w:r>
        <w:rPr>
          <w:rFonts w:ascii="Times New Roman;Times;Serif" w:hAnsi="Times New Roman;Times;Serif"/>
          <w:b w:val="false"/>
          <w:i w:val="false"/>
          <w:caps w:val="false"/>
          <w:smallCaps w:val="false"/>
          <w:sz w:val="20"/>
        </w:rPr>
        <w:t>was RMB931.5 million (US$137.3 million), compared to RMB773.8 million in the same period of 2025 and RMB1,234.7 million in the prior quarter. The year-over-year and sequential changes reflected the Company’s consistent approach in assessing provisions commensurate with its underlying loan profile and changes in the on-balance-sheet loan origination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3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 xml:space="preserve">Provision for financial assets receivable </w:t>
      </w:r>
      <w:r>
        <w:rPr>
          <w:rFonts w:ascii="Times New Roman;Times;Serif" w:hAnsi="Times New Roman;Times;Serif"/>
          <w:b w:val="false"/>
          <w:i w:val="false"/>
          <w:caps w:val="false"/>
          <w:smallCaps w:val="false"/>
          <w:sz w:val="20"/>
        </w:rPr>
        <w:t>was RMB17.8 million (US$2.6 million), compared to RMB66.6 million in the same period of 2025 and RMB21.0 million in the prior quarter. The year-over-year and sequential decreases were mainly due to the decreases in capital-heavy loan facilitation volume and reflected the Company’s consistent approach in assessing provisions commensurate with its underlying loan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Provision for accounts receivable and contract assets</w:t>
      </w:r>
      <w:r>
        <w:rPr>
          <w:rFonts w:ascii="Times New Roman;Times;Serif" w:hAnsi="Times New Roman;Times;Serif"/>
          <w:b w:val="false"/>
          <w:i w:val="false"/>
          <w:caps w:val="false"/>
          <w:smallCaps w:val="false"/>
          <w:sz w:val="20"/>
        </w:rPr>
        <w:t xml:space="preserve"> was RMB120.3 million (US$17.7 million), compared to RMB79.9 million in the same period of 2025 and RMB20.4 million in the prior quarter. The year-over-year and sequential increases reflected the Company’s consistent approach in assessing provisions commensurate with its underlying loan profile and the collectability of its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00000"/>
          <w:sz w:val="20"/>
        </w:rPr>
        <w:t>Provision for contingent liabilities</w:t>
      </w:r>
      <w:r>
        <w:rPr>
          <w:rFonts w:ascii="Times New Roman;Times;Serif" w:hAnsi="Times New Roman;Times;Serif"/>
          <w:b w:val="false"/>
          <w:i w:val="false"/>
          <w:caps w:val="false"/>
          <w:smallCaps w:val="false"/>
          <w:sz w:val="20"/>
        </w:rPr>
        <w:t xml:space="preserve"> was RMB-2.7 million (US$-0.4 million), compared to RMB397.6 million in the same period of 2025 and RMB94.4 million in the prior quarter. The year-over-year and sequential decreases were mainly due to the decreases in capital-heavy loan facilitation volume and reflected the Company’s consistent approach in assessing provisions commensurate with its underlying loan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Income from operations</w:t>
      </w:r>
      <w:r>
        <w:rPr>
          <w:rFonts w:ascii="Times New Roman;Times;Serif" w:hAnsi="Times New Roman;Times;Serif"/>
          <w:b w:val="false"/>
          <w:i w:val="false"/>
          <w:caps w:val="false"/>
          <w:smallCaps w:val="false"/>
          <w:sz w:val="20"/>
        </w:rPr>
        <w:t xml:space="preserve"> was RMB1,161.0 million (US$171.1 million), compared to RMB2,136.2 million in the same period of 2025 and RMB978.9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Non-GAAP income from operations</w:t>
      </w:r>
      <w:r>
        <w:rPr>
          <w:rFonts w:ascii="Times New Roman;Times;Serif" w:hAnsi="Times New Roman;Times;Serif"/>
          <w:b w:val="false"/>
          <w:i w:val="false"/>
          <w:caps w:val="false"/>
          <w:smallCaps w:val="false"/>
          <w:sz w:val="20"/>
        </w:rPr>
        <w:t xml:space="preserve"> was RMB1,214.5 million (US$179.0 million), compared to RMB2,254.7 million in the same period of 2025 and RMB1,045.0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Operating margin</w:t>
      </w:r>
      <w:r>
        <w:rPr>
          <w:rFonts w:ascii="Times New Roman;Times;Serif" w:hAnsi="Times New Roman;Times;Serif"/>
          <w:b w:val="false"/>
          <w:i w:val="false"/>
          <w:caps w:val="false"/>
          <w:smallCaps w:val="false"/>
          <w:sz w:val="20"/>
        </w:rPr>
        <w:t xml:space="preserve"> was 32.6%. </w:t>
      </w:r>
      <w:r>
        <w:rPr>
          <w:rFonts w:ascii="Times New Roman;Times;Serif" w:hAnsi="Times New Roman;Times;Serif"/>
          <w:b/>
          <w:i w:val="false"/>
          <w:caps w:val="false"/>
          <w:smallCaps w:val="false"/>
          <w:sz w:val="20"/>
        </w:rPr>
        <w:t>Non-GAAP operating margin</w:t>
      </w:r>
      <w:r>
        <w:rPr>
          <w:rFonts w:ascii="Times New Roman;Times;Serif" w:hAnsi="Times New Roman;Times;Serif"/>
          <w:b w:val="false"/>
          <w:i w:val="false"/>
          <w:caps w:val="false"/>
          <w:smallCaps w:val="false"/>
          <w:sz w:val="20"/>
        </w:rPr>
        <w:t xml:space="preserve"> was 34.1%.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Income before income tax expense</w:t>
      </w:r>
      <w:r>
        <w:rPr>
          <w:rFonts w:ascii="Times New Roman;Times;Serif" w:hAnsi="Times New Roman;Times;Serif"/>
          <w:b w:val="false"/>
          <w:i w:val="false"/>
          <w:caps w:val="false"/>
          <w:smallCaps w:val="false"/>
          <w:sz w:val="20"/>
        </w:rPr>
        <w:t xml:space="preserve"> was RMB1,092.5 million (US$161.0 million), compared to RMB2,172.0 million in the same period of 2025 and RMB1,140.5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Income taxes expense </w:t>
      </w:r>
      <w:r>
        <w:rPr>
          <w:rFonts w:ascii="Times New Roman;Times;Serif" w:hAnsi="Times New Roman;Times;Serif"/>
          <w:b w:val="false"/>
          <w:i w:val="false"/>
          <w:caps w:val="false"/>
          <w:smallCaps w:val="false"/>
          <w:sz w:val="20"/>
        </w:rPr>
        <w:t xml:space="preserve">was RMB691.1 million (US$101.9 million), compared to RMB441.5 million in the same period of 2025 and RMB260.7 million in the prior quarter.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accrued a non-recurring tax-related expense of approximately RMB500 million in the second quarter, which was caused by a change in tax treatment of certain entities based on the updated interpretation of related tax regulations by the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Net income</w:t>
      </w:r>
      <w:r>
        <w:rPr>
          <w:rFonts w:ascii="Times New Roman;Times;Serif" w:hAnsi="Times New Roman;Times;Serif"/>
          <w:b w:val="false"/>
          <w:i w:val="false"/>
          <w:caps w:val="false"/>
          <w:smallCaps w:val="false"/>
          <w:sz w:val="20"/>
        </w:rPr>
        <w:t xml:space="preserve"> was RMB401.4 million (US$59.2 million), compared to RMB1,730.5 million in the same period of 2025 and RMB879.8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Non-GAAP net income</w:t>
      </w:r>
      <w:r>
        <w:rPr>
          <w:rFonts w:ascii="Times New Roman;Times;Serif" w:hAnsi="Times New Roman;Times;Serif"/>
          <w:b w:val="false"/>
          <w:i w:val="false"/>
          <w:caps w:val="false"/>
          <w:smallCaps w:val="false"/>
          <w:sz w:val="20"/>
        </w:rPr>
        <w:t xml:space="preserve"> was RMB454.9 million (US$67.0 million), compared to RMB1,849.0 million in the same period of 2025 and RMB945.9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Net income margin</w:t>
      </w:r>
      <w:r>
        <w:rPr>
          <w:rFonts w:ascii="Times New Roman;Times;Serif" w:hAnsi="Times New Roman;Times;Serif"/>
          <w:b w:val="false"/>
          <w:i w:val="false"/>
          <w:caps w:val="false"/>
          <w:smallCaps w:val="false"/>
          <w:sz w:val="20"/>
        </w:rPr>
        <w:t xml:space="preserve"> was 11.3%. </w:t>
      </w:r>
      <w:r>
        <w:rPr>
          <w:rFonts w:ascii="Times New Roman;Times;Serif" w:hAnsi="Times New Roman;Times;Serif"/>
          <w:b/>
          <w:i w:val="false"/>
          <w:caps w:val="false"/>
          <w:smallCaps w:val="false"/>
          <w:sz w:val="20"/>
        </w:rPr>
        <w:t>Non-GAAP net income margin</w:t>
      </w:r>
      <w:r>
        <w:rPr>
          <w:rFonts w:ascii="Times New Roman;Times;Serif" w:hAnsi="Times New Roman;Times;Serif"/>
          <w:b w:val="false"/>
          <w:i w:val="false"/>
          <w:caps w:val="false"/>
          <w:smallCaps w:val="false"/>
          <w:sz w:val="20"/>
        </w:rPr>
        <w:t xml:space="preserve"> was 12.8%.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Net income attributed to the Company</w:t>
      </w:r>
      <w:r>
        <w:rPr>
          <w:rFonts w:ascii="Times New Roman;Times;Serif" w:hAnsi="Times New Roman;Times;Serif"/>
          <w:b w:val="false"/>
          <w:i w:val="false"/>
          <w:caps w:val="false"/>
          <w:smallCaps w:val="false"/>
          <w:sz w:val="20"/>
        </w:rPr>
        <w:t xml:space="preserve"> was RMB405.9 million (US$59.8 million), compared to RMB1,734.0 million in the same period of 2025 and RMB883.3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Non-GAAP net income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attributed to the Company</w:t>
      </w:r>
      <w:r>
        <w:rPr>
          <w:rFonts w:ascii="Times New Roman;Times;Serif" w:hAnsi="Times New Roman;Times;Serif"/>
          <w:b w:val="false"/>
          <w:i w:val="false"/>
          <w:caps w:val="false"/>
          <w:smallCaps w:val="false"/>
          <w:sz w:val="20"/>
        </w:rPr>
        <w:t xml:space="preserve"> was RMB459.4 million (US$67.7 million), compared to RMB1,852.5 million in the same period of 2025 and RMB949.4 million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Net income per fully diluted ADS </w:t>
      </w:r>
      <w:r>
        <w:rPr>
          <w:rFonts w:ascii="Times New Roman;Times;Serif" w:hAnsi="Times New Roman;Times;Serif"/>
          <w:b w:val="false"/>
          <w:i w:val="false"/>
          <w:caps w:val="false"/>
          <w:smallCaps w:val="false"/>
          <w:sz w:val="20"/>
        </w:rPr>
        <w:t>was RMB3.28 (US$0.48).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Non-GAAP net income per fully diluted ADS </w:t>
      </w:r>
      <w:r>
        <w:rPr>
          <w:rFonts w:ascii="Times New Roman;Times;Serif" w:hAnsi="Times New Roman;Times;Serif"/>
          <w:b w:val="false"/>
          <w:i w:val="false"/>
          <w:caps w:val="false"/>
          <w:smallCaps w:val="false"/>
          <w:sz w:val="20"/>
        </w:rPr>
        <w:t>was RMB3.72 (US$0.55).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Weighted average basic ADS used in calculating GAAP net income per ADS </w:t>
      </w:r>
      <w:r>
        <w:rPr>
          <w:rFonts w:ascii="Times New Roman;Times;Serif" w:hAnsi="Times New Roman;Times;Serif"/>
          <w:b w:val="false"/>
          <w:i w:val="false"/>
          <w:caps w:val="false"/>
          <w:smallCaps w:val="false"/>
          <w:sz w:val="20"/>
        </w:rPr>
        <w:t>was 121.77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Weighted average diluted ADS used in calculating GAAP and non-GAAP net income per ADS </w:t>
      </w:r>
      <w:r>
        <w:rPr>
          <w:rFonts w:ascii="Times New Roman;Times;Serif" w:hAnsi="Times New Roman;Times;Serif"/>
          <w:b w:val="false"/>
          <w:i w:val="false"/>
          <w:caps w:val="false"/>
          <w:smallCaps w:val="false"/>
          <w:sz w:val="20"/>
        </w:rPr>
        <w:t>was 123.61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Ordinary shares outstanding</w:t>
      </w:r>
      <w:r>
        <w:rPr>
          <w:rFonts w:ascii="Times New Roman;Times;Serif" w:hAnsi="Times New Roman;Times;Serif"/>
          <w:b w:val="false"/>
          <w:i w:val="false"/>
          <w:caps w:val="false"/>
          <w:smallCaps w:val="false"/>
          <w:sz w:val="20"/>
        </w:rPr>
        <w:t xml:space="preserve"> as of June 30, 2026 was 243,165,684.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“Financing income” is generated from loans facilitated through the Company’s platform funded by the consolidated trusts and Fuzhou Microcredit, which charge fees and interests from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4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Day+ Delinquency Rate by Vintage and 180 Day+ Delinquency Rate by Vintage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charts and tables display the historical cumulative 30 day+ delinquency rates by loan facilitation and origination vintage and 180 day+ delinquency rates by loan facilitation and origination vintage for all loans facilitated and originated through the Company’s platform. Loans under “ICE” and total technology solutions are not included in the 30 day+ charts and the 180 day+ charts: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8048625" cy="3295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48625" cy="32956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8096250" cy="3543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35433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5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Appointment of a New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“Board”) has approved the appointment of Prof. Dong Lou as an independent director of the Company, effective on August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 Dong Lou has served as a Chair Professor of Finance at the Hong Kong University of Science and Technology Business School since 2024, where he also holds the Citi Professorship in Business. He has served as the Director of the HKUST Institute for Financial Research and Associate Dean (Strategic Planning and Research) of the HKUST Business School since 2024. Prof. Lou also served as a Professor of Finance at the London School of Economics and Political Science from 2022 to 2025, having previously served as an Associate Professor from 2015 to 2022 and an Assistant Professor from 2009 to 2015. He currently serves as an Associate Editor of the Journal of Finance, the Journal of Financial Economics, and Management Science. Prof. Lou is a Council Member of the Society for Financial Studies, an Advisor to the Hong Kong Institute for Monetary and Financial Research, a Co-Director of the HKUST-DXM Joint Laboratory on AI in Finance, a Research Fellow at the Centre for Economic Policy Research, and a Senior Fellow of the Asian Bureau of Finance and Economic Research. Prof. Lou received his Ph.D. in Finance from Yale University in 2009 and his B.S. in Computer Science, Summa Cum Laude, from Columbia University in 2004.</w:t>
        <w:br/>
        <w:br/>
        <w:t>Mr. Haisheng Wu, Chief Executive Officer and Director of Qfin Holdings, said “We are honored to welcome Prof. Lou to join the Board and look forward to the contributions his talents and experience will bring to our Board and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Semi-Annual Dividend for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a dividend of US$0.23 per Class A ordinary share, or US$0.46 per ADS for the first half of 2026 to holders of record of Class A ordinary shares and ADSs as of the close of business on September 9, 2026 Hong Kong Time and New York Time, respectively, in accordance with the Company’s dividend policy. For holders of Class A ordinary shares, in order to qualify for the dividend, all valid documents for the transfers of shares accompanied by the relevant share certificates must be lodged for registration with the Company’s Hong Kong branch share registrar, Computershare Hong Kong Investor Services Limited, at Shops 1712-1716, 17th Floor, Hopewell Centre, 183 Queen’s Road East, Hong Kong no later than 4:30 p.m. on September 9, 2026 (Hong Kong Time). The payment date is expected to be on September 28, 2026 for holders of Class A ordinary shares and on or around October 1, 2026 for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 on Share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2025, the Board approved a share repurchase plan (the “March 2025 Share Repurchase Plan”) whereby the Company is authorized, with no definitive term, to use the net proceeds of approximately US$677 million from the offering of convertible senior notes due 2030 to repurchase its ADSs and/or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25, 2026, the Company had in aggregate purchased approximately 5.6 million ADSs concurrently with the pricing of the offering of the convertible senior notes and on the open market, for a total amount of approximately US$234 million (inclusive of commissions) at an average price of US$41.8 per ADS pursuant to the March 2025 Share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6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macro environment uncertainties and regulatory pressure persist, the Company intends to take an even more prudent approach in its business planning. As such, for the third quarter of 2026, the Company expects to generate a net income between RMB360 million and RMB460 million and a non-GAAP net income</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between RMB400 million and RMB500 million, representing a year-on-year decline between 67% and 73%. This outlook reflects the Company’s current and preliminary views, which is subject to material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Non-GAAP net income represents net income excluding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Preregistration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Qfin Holdings’ management team will host an earnings conference call at 8:30 PM U.S. Eastern Time on Tuesday, August 25, 2026 (8:30 AM Beijing Time on Wednesday, August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wishing to join the conference call must pre-register online using the link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Link: https://s1.c-conf.com/diamondpass/10056626-hxqxg1.html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registration, each participant will receive details for the conference call, including dial-in numbers, conference call passcode and a unique access PIN. Please dial in 10 minutes before the call is scheduled to begin.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Investor Relations section of the Company’s website at </w:t>
      </w:r>
      <w:r>
        <w:rPr>
          <w:rFonts w:ascii="Times New Roman;Times;Serif" w:hAnsi="Times New Roman;Times;Serif"/>
          <w:b w:val="false"/>
          <w:i w:val="false"/>
          <w:caps w:val="false"/>
          <w:smallCaps w:val="false"/>
          <w:sz w:val="20"/>
          <w:u w:val="single"/>
        </w:rPr>
        <w:t>https://ir.qfin.com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Qfin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Qfin Holdings is a leading AI-empowered Credit-Tech platform in China. By leveraging its sophisticated machine learning models and data analytics capabilities, the Company provides a comprehensive suite of technology services to assist financial institutions and consumers and SMEs in the loan lifecycle, ranging from borrower acquisition, preliminary credit assessment, fund matching and post-facilitation services. The Company is dedicated to making credit services more accessible and personalized to consumers and SMEs through Credit-Tech services to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https://ir.qfin.com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financial results presented in accordance with U.S. GAAP, we use Non-GAAP financial measures, which are adjusted from results based on U.S. GAAP to exclude share-based compensation expenses. Reconciliations of our Non-GAAP financial measures to our U.S. GAAP financial measures are set forth in tables at the end of this earnings release, which provide more details on the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Non-GAAP income from operation, Non-GAAP operating margin, Non-GAAP net income, Non-GAAP net income margin, Non-GAAP net income attributed to the Company and Non-GAAP net income per fully diluted ADS in evaluating our operating results and for financial and operational decision-making purposes. Non-GAAP income from operation represents income from operation excluding share-based compensation expenses. Non-GAAP operating margin is equal to Non-GAAP income from operation divided by total net revenue. Non-GAAP net income represents net income excluding share-based compensation expenses. Non-GAAP net income margin is equal to Non-GAAP net income divided by total net revenue. Non-GAAP net income attributed to the Company represents net income attributed to the Company excluding share-based compensation expenses. Non-GAAP net income per fully diluted ADS represents net income excluding share-based compensation expenses per fully diluted ADS. Such adjustments have no impact on income tax. We believe that Non-GAAP income from operation, Non-GAAP operating margin, Non-GAAP net income, Non-GAAP net income margin, Non-GAAP net income attributed to the Company and Non-GAAP net income per fully diluted ADS help identify underlying trends in our business that could otherwise be distorted by the effect of certain expenses that we include in results based on U.S. GAAP. We believe that Non-GAAP income from operation and Non-GAAP net income provide useful information about our operating results, enhance the overall understanding of our past performance and future prospects and allow for greater visibility with respect to key metrics used by our management in its financial and operational decision-making. Our Non-GAAP financial information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7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This announcement contains translations of certain RMB amounts into U.S. dollars at specified rates solely for the convenience of the reader. Unless otherwise noted, all translations from RMB to U.S. dollars are made at a rate of RMB</w:t>
      </w:r>
      <w:r>
        <w:rPr>
          <w:rFonts w:ascii="Times New Roman;Times;Serif" w:hAnsi="Times New Roman;Times;Serif"/>
          <w:b w:val="false"/>
          <w:i w:val="false"/>
          <w:caps w:val="false"/>
          <w:smallCaps w:val="false"/>
          <w:sz w:val="20"/>
        </w:rPr>
        <w:t>6.7851 to US$1.00, the exchange rate set forth in the H.10 statistical release of the Board of Governors of the Federal Reserve System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contained in this announcement are made under the “safe harbor” provisions of the U.S. Private Securities Litigation Reform Act of 1995. Forward-looking statements can be identified by terminology such as “will,” “expects,” “anticipates,” “future,” “intends,” “plans,” “believes,” “estimates” and similar statements. Among other things, the business outlook and quotations from management in this announcement, as well as the Company’s strategic and operational plans, contain forward-looking statements. Qfin Holdings may also make written or oral forward-looking statements in its periodic reports to the U.S. Securities and Exchange Commission (“SEC”),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the Company’s business outlook, beliefs and expectations, are forward-looking statements. Forward-looking statements involve inherent risks and uncertainties. A number of factors could cause actual results to differ materially from those contained in any forward-looking statement, which factors include but not limited to the following: the Company’s growth strategies, changes in laws, rules and regulatory environments, the recognition of the Company’s brand, market acceptance of the Company’s products and services, trends and developments in the credit-tech industry, governmental policies relating to the credit-tech industry, general economic conditions in China and around the globe, and assumptions underlying or related to any of the foregoing. Further information regarding these and other risks and uncertainties is included in Qfin Holdings’ filings with the SEC and announcements on the website of the Hong Kong Stock Exchange. All information provided in this press release is as of the date of this press release, and Qfin Holdings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Qfin Holdings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E-mail: </w:t>
      </w:r>
      <w:r>
        <w:rPr>
          <w:rFonts w:ascii="Times New Roman;Times;Serif" w:hAnsi="Times New Roman;Times;Serif"/>
          <w:b w:val="false"/>
          <w:i w:val="false"/>
          <w:caps w:val="false"/>
          <w:smallCaps w:val="false"/>
          <w:sz w:val="20"/>
          <w:u w:val="single"/>
        </w:rPr>
        <w:t>ir@qfin.com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8 / 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of Renminbi (“RMB”) and U.S. dollars (“USD”)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number of shares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8374" w:type="dxa"/>
        <w:jc w:val="left"/>
        <w:tblInd w:w="0" w:type="dxa"/>
        <w:tblLayout w:type="fixed"/>
        <w:tblCellMar>
          <w:top w:w="0" w:type="dxa"/>
          <w:left w:w="0" w:type="dxa"/>
          <w:bottom w:w="0" w:type="dxa"/>
          <w:right w:w="0" w:type="dxa"/>
        </w:tblCellMar>
      </w:tblPr>
      <w:tblGrid>
        <w:gridCol w:w="4910"/>
        <w:gridCol w:w="60"/>
        <w:gridCol w:w="69"/>
        <w:gridCol w:w="1105"/>
        <w:gridCol w:w="60"/>
        <w:gridCol w:w="60"/>
        <w:gridCol w:w="60"/>
        <w:gridCol w:w="950"/>
        <w:gridCol w:w="60"/>
        <w:gridCol w:w="60"/>
        <w:gridCol w:w="60"/>
        <w:gridCol w:w="845"/>
        <w:gridCol w:w="75"/>
      </w:tblGrid>
      <w:tr>
        <w:trPr/>
        <w:tc>
          <w:tcPr>
            <w:tcW w:w="4910" w:type="dxa"/>
            <w:tcBorders/>
            <w:vAlign w:val="center"/>
          </w:tcPr>
          <w:p>
            <w:pPr>
              <w:pStyle w:val="TableContents"/>
              <w:bidi w:val="0"/>
              <w:spacing w:before="0" w:after="283"/>
              <w:jc w:val="left"/>
              <w:rPr>
                <w:color w:val="0000FF"/>
              </w:rPr>
            </w:pPr>
            <w:r>
              <w:rPr>
                <w:color w:val="0000FF"/>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June 30,</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color w:val="0000FF"/>
              </w:rPr>
            </w:pPr>
            <w:r>
              <w:rPr>
                <w:color w:val="0000FF"/>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center"/>
              <w:rPr/>
            </w:pPr>
            <w:r>
              <w:rPr/>
              <w:t> </w:t>
            </w:r>
          </w:p>
        </w:tc>
      </w:tr>
      <w:tr>
        <w:trPr/>
        <w:tc>
          <w:tcPr>
            <w:tcW w:w="4910" w:type="dxa"/>
            <w:tcBorders/>
            <w:vAlign w:val="center"/>
          </w:tcPr>
          <w:p>
            <w:pPr>
              <w:pStyle w:val="TableContents"/>
              <w:bidi w:val="0"/>
              <w:spacing w:before="0" w:after="283"/>
              <w:jc w:val="left"/>
              <w:rPr>
                <w:color w:val="0000FF"/>
              </w:rPr>
            </w:pPr>
            <w:r>
              <w:rPr>
                <w:color w:val="0000FF"/>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center"/>
              <w:rPr/>
            </w:pPr>
            <w:r>
              <w:rPr/>
              <w:t> </w:t>
            </w:r>
          </w:p>
        </w:tc>
        <w:tc>
          <w:tcPr>
            <w:tcW w:w="1105" w:type="dxa"/>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b/>
                <w:sz w:val="20"/>
              </w:rPr>
            </w:pPr>
            <w:r>
              <w:rPr>
                <w:b/>
                <w:sz w:val="20"/>
              </w:rPr>
              <w:t>RMB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tcBorders/>
            <w:vAlign w:val="center"/>
          </w:tcPr>
          <w:p>
            <w:pPr>
              <w:pStyle w:val="TableContents"/>
              <w:bidi w:val="0"/>
              <w:spacing w:before="0" w:after="283"/>
              <w:jc w:val="center"/>
              <w:rPr>
                <w:b/>
                <w:sz w:val="20"/>
              </w:rPr>
            </w:pPr>
            <w:r>
              <w:rPr>
                <w:b/>
                <w:sz w:val="20"/>
              </w:rPr>
              <w:t>USD </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Current assets: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4,696,817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4,118,956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607,059</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2,844,101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3,561,676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524,926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Short term investments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2,852,254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2,695,699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397,297</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Security deposit prepaid to third-party guarantee companies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325,698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257,935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38,015</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Funds receivable from third party payment service providers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848,163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92,973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13,703</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Accounts receivable and contract assets, net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950,267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482,948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71,178</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Financial assets receivable, net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1,510,205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874,950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128,952</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Loans receivable, net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34,680,954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28,993,314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4,273,086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772,999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1,336,730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197,010</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b/>
                <w:sz w:val="20"/>
              </w:rPr>
            </w:pPr>
            <w:r>
              <w:rPr>
                <w:b/>
                <w:sz w:val="20"/>
              </w:rPr>
              <w:t>49,481,458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b/>
                <w:sz w:val="20"/>
              </w:rPr>
            </w:pPr>
            <w:r>
              <w:rPr>
                <w:b/>
                <w:sz w:val="20"/>
              </w:rPr>
              <w:t>42,415,181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sz w:val="20"/>
              </w:rPr>
            </w:pPr>
            <w:r>
              <w:rPr>
                <w:b/>
                <w:sz w:val="20"/>
              </w:rPr>
              <w:t>6,251,226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Accounts receivable and contract assets, net-noncurrent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21,992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16,595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2,446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Financial assets receivable, net-noncurrent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209,459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91,926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13,548</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Loans receivable, net-noncurrent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4,002,159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7,189,399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1,059,586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636,994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640,894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94,456</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966,582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955,882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140,880</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Intangible 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10,670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1,485</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45,200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45,166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6,657</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1,379,933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1,567,040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230,953</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195,348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159,081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23,446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b/>
                <w:sz w:val="20"/>
              </w:rPr>
            </w:pPr>
            <w:r>
              <w:rPr>
                <w:b/>
                <w:sz w:val="20"/>
              </w:rPr>
              <w:t>7,468,337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b/>
                <w:sz w:val="20"/>
              </w:rPr>
            </w:pPr>
            <w:r>
              <w:rPr>
                <w:b/>
                <w:sz w:val="20"/>
              </w:rPr>
              <w:t>10,676,056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1,573,457</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b/>
                <w:sz w:val="20"/>
              </w:rPr>
            </w:pPr>
            <w:r>
              <w:rPr>
                <w:b/>
                <w:sz w:val="20"/>
              </w:rPr>
              <w:t>56,949,795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b/>
                <w:sz w:val="20"/>
              </w:rPr>
            </w:pPr>
            <w:r>
              <w:rPr>
                <w:b/>
                <w:sz w:val="20"/>
              </w:rPr>
              <w:t>53,091,237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sz w:val="20"/>
              </w:rPr>
            </w:pPr>
            <w:r>
              <w:rPr>
                <w:b/>
                <w:sz w:val="20"/>
              </w:rPr>
              <w:t>7,824,683</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Payable to investors of the consolidated trusts-current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9,922,559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11,003,442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1,621,707</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2,935,726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2,899,533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427,338</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Short term loans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1,202,891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2,184,000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321,882</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Convertible senior notes-current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1,019,130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Guarantee liabilities-stand ready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2,314,865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1,438,008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211,936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Guarantee liabilities-contingent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1,872,149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969,009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142,814</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1,083,176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1,059,890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156,208</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Other tax payable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9,333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b/>
                <w:sz w:val="20"/>
              </w:rPr>
            </w:pPr>
            <w:r>
              <w:rPr>
                <w:b/>
                <w:sz w:val="20"/>
              </w:rPr>
              <w:t>20,359,829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b/>
                <w:sz w:val="20"/>
              </w:rPr>
            </w:pPr>
            <w:r>
              <w:rPr>
                <w:b/>
                <w:sz w:val="20"/>
              </w:rPr>
              <w:t>19,553,882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sz w:val="20"/>
              </w:rPr>
            </w:pPr>
            <w:r>
              <w:rPr>
                <w:b/>
                <w:sz w:val="20"/>
              </w:rPr>
              <w:t>2,881,885</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320,149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330,932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48,773</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Payable to investors of the consolidated trusts-noncurrent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9,930,000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7,049,800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1,039,012</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Convertible senior notes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1,583,213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760,750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112,121</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599,561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611,485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90,122</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b/>
                <w:sz w:val="20"/>
              </w:rPr>
            </w:pPr>
            <w:r>
              <w:rPr>
                <w:b/>
                <w:sz w:val="20"/>
              </w:rPr>
              <w:t>12,432,923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b/>
                <w:sz w:val="20"/>
              </w:rPr>
            </w:pPr>
            <w:r>
              <w:rPr>
                <w:b/>
                <w:sz w:val="20"/>
              </w:rPr>
              <w:t>8,752,967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sz w:val="20"/>
              </w:rPr>
            </w:pPr>
            <w:r>
              <w:rPr>
                <w:b/>
                <w:sz w:val="20"/>
              </w:rPr>
              <w:t>1,290,028</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b/>
                <w:sz w:val="20"/>
              </w:rPr>
            </w:pPr>
            <w:r>
              <w:rPr>
                <w:b/>
                <w:sz w:val="20"/>
              </w:rPr>
              <w:t>32,792,752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b/>
                <w:sz w:val="20"/>
              </w:rPr>
            </w:pPr>
            <w:r>
              <w:rPr>
                <w:b/>
                <w:sz w:val="20"/>
              </w:rPr>
              <w:t>28,306,849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4,171,913</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TOTAL QFIN HOLDINGS, INC EQUITY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b/>
                <w:sz w:val="20"/>
              </w:rPr>
            </w:pPr>
            <w:r>
              <w:rPr>
                <w:b/>
                <w:sz w:val="20"/>
              </w:rPr>
              <w:t>24,114,915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b/>
                <w:sz w:val="20"/>
              </w:rPr>
            </w:pPr>
            <w:r>
              <w:rPr>
                <w:b/>
                <w:sz w:val="20"/>
              </w:rPr>
              <w:t>24,750,320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sz w:val="20"/>
              </w:rPr>
            </w:pPr>
            <w:r>
              <w:rPr>
                <w:b/>
                <w:sz w:val="20"/>
              </w:rPr>
              <w:t>3,647,749</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42,128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34,068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5,021</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TOTAL EQUITY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b/>
                <w:sz w:val="20"/>
              </w:rPr>
            </w:pPr>
            <w:r>
              <w:rPr>
                <w:b/>
                <w:sz w:val="20"/>
              </w:rPr>
              <w:t>24,157,043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b/>
                <w:sz w:val="20"/>
              </w:rPr>
            </w:pPr>
            <w:r>
              <w:rPr>
                <w:b/>
                <w:sz w:val="20"/>
              </w:rPr>
              <w:t>24,784,388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sz w:val="20"/>
              </w:rPr>
            </w:pPr>
            <w:r>
              <w:rPr>
                <w:b/>
                <w:sz w:val="20"/>
              </w:rPr>
              <w:t>3,652,770</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TOTAL LIABILITIES AND EQUITY</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b/>
                <w:sz w:val="20"/>
              </w:rPr>
            </w:pPr>
            <w:r>
              <w:rPr>
                <w:b/>
                <w:sz w:val="20"/>
              </w:rPr>
              <w:t>56,949,795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b/>
                <w:sz w:val="20"/>
              </w:rPr>
            </w:pPr>
            <w:r>
              <w:rPr>
                <w:b/>
                <w:sz w:val="20"/>
              </w:rPr>
              <w:t>53,091,237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7,824,683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9 / 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of Renminbi (“RMB”) and U.S. dollars (“USD”)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number of shares and per share data, or otherwise noted)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0"/>
        <w:gridCol w:w="60"/>
        <w:gridCol w:w="60"/>
        <w:gridCol w:w="1055"/>
        <w:gridCol w:w="80"/>
        <w:gridCol w:w="60"/>
        <w:gridCol w:w="60"/>
        <w:gridCol w:w="1055"/>
        <w:gridCol w:w="80"/>
        <w:gridCol w:w="60"/>
        <w:gridCol w:w="60"/>
        <w:gridCol w:w="1055"/>
        <w:gridCol w:w="80"/>
        <w:gridCol w:w="60"/>
        <w:gridCol w:w="60"/>
        <w:gridCol w:w="1055"/>
        <w:gridCol w:w="80"/>
        <w:gridCol w:w="60"/>
        <w:gridCol w:w="60"/>
        <w:gridCol w:w="1055"/>
        <w:gridCol w:w="80"/>
        <w:gridCol w:w="60"/>
        <w:gridCol w:w="60"/>
        <w:gridCol w:w="1055"/>
        <w:gridCol w:w="95"/>
      </w:tblGrid>
      <w:tr>
        <w:trPr/>
        <w:tc>
          <w:tcPr>
            <w:tcW w:w="26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9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USD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USD</w:t>
            </w:r>
          </w:p>
        </w:tc>
        <w:tc>
          <w:tcPr>
            <w:tcW w:w="9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sz w:val="20"/>
              </w:rPr>
            </w:pPr>
            <w:r>
              <w:rPr>
                <w:b/>
                <w:sz w:val="20"/>
              </w:rPr>
              <w:t>Credit driven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3,565,549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2,596,712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382,708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6,676,415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5,554,121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818,576</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r>
              <w:rPr>
                <w:sz w:val="20"/>
              </w:rPr>
              <w:t>Loan facilitation and servicing fees-capital heavy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460,858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74,362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890,633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210,582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31,036</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Financing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2,204,963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1,839,891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271,166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4,022,184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3,861,502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569,115</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r>
              <w:rPr>
                <w:sz w:val="20"/>
              </w:rPr>
              <w:t>Revenue from releasing of guarantee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805,272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658,682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97,078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1,583,494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1,411,280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207,997</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Other services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94,456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23,777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180,104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70,757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10,428</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b/>
                <w:sz w:val="20"/>
              </w:rPr>
            </w:pPr>
            <w:r>
              <w:rPr>
                <w:b/>
                <w:sz w:val="20"/>
              </w:rPr>
              <w:t>Platform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1,650,346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969,845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142,938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3,230,177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1,921,768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283,233</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Loan facilitation and servicing fees-capital light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326,829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201,712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29,729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700,538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412,813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60,841</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r>
              <w:rPr>
                <w:sz w:val="20"/>
              </w:rPr>
              <w:t>Referral services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986,396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370,760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54,643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1,991,018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846,429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124,748</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Other services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337,121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397,373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58,566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538,621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662,526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97,644</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b/>
                <w:sz w:val="20"/>
              </w:rPr>
            </w:pPr>
            <w:r>
              <w:rPr>
                <w:b/>
                <w:sz w:val="20"/>
              </w:rPr>
              <w:t>Total net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5,215,895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3,566,557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525,646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9,906,592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7,475,889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1,101,809</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Facilitation, origination and servicing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781,029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676,097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99,644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1,495,521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1,493,363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220,094</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r>
              <w:rPr>
                <w:sz w:val="20"/>
              </w:rPr>
              <w:t>Funding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142,118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129,016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19,015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264,775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257,317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37,924</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662,685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396,832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58,486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1,254,180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852,755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125,681</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175,879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136,640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20,138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372,361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295,288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43,520</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Provision for loans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773,849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931,517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137,289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1,597,036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2,166,181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319,256</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r>
              <w:rPr>
                <w:sz w:val="20"/>
              </w:rPr>
              <w:t>Provision for financial assets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66,631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17,817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2,626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106,494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38,771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5,714</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Provision for accounts receivable and 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79,905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120,343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148,350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140,705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20,737</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r>
              <w:rPr>
                <w:sz w:val="20"/>
              </w:rPr>
              <w:t>Provision (reversal) for contingent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397,614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(2,684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(396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556,957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91,668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13,510</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sz w:val="20"/>
              </w:rPr>
            </w:pPr>
            <w:r>
              <w:rPr>
                <w:b/>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3,079,710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2,405,578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354,538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5,795,674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5,336,048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786,436</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b/>
                <w:sz w:val="20"/>
              </w:rPr>
            </w:pPr>
            <w:r>
              <w:rPr>
                <w:b/>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2,136,185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1,160,979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171,108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4,110,918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2,139,841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315,373</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73,265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141,039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62,355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9,190</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r>
              <w:rPr>
                <w:sz w:val="20"/>
              </w:rPr>
              <w:t>Foreign exchange gain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108,449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15,442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110,572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23,829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3,512</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Fair value change of derivatives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(170,407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(20,306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(2,993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(170,407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(65,273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(9,620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660" w:type="dxa"/>
            <w:tcBorders/>
            <w:shd w:fill="FFFFFF" w:val="clear"/>
            <w:vAlign w:val="center"/>
          </w:tcPr>
          <w:p>
            <w:pPr>
              <w:pStyle w:val="TableContents"/>
              <w:bidi w:val="0"/>
              <w:spacing w:before="0" w:after="283"/>
              <w:jc w:val="left"/>
              <w:rPr/>
            </w:pPr>
            <w:r>
              <w:rPr/>
              <w:t>    </w:t>
            </w:r>
            <w:r>
              <w:rPr>
                <w:sz w:val="20"/>
              </w:rPr>
              <w:t>Gain on debt extinguishment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83,181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198,031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29,186</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(175,156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(25,815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200,109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(125,747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(18,533</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660" w:type="dxa"/>
            <w:tcBorders/>
            <w:shd w:fill="FFFFFF" w:val="clear"/>
            <w:vAlign w:val="center"/>
          </w:tcPr>
          <w:p>
            <w:pPr>
              <w:pStyle w:val="TableContents"/>
              <w:bidi w:val="0"/>
              <w:spacing w:before="0" w:after="283"/>
              <w:jc w:val="left"/>
              <w:rPr>
                <w:b/>
                <w:sz w:val="20"/>
              </w:rPr>
            </w:pPr>
            <w:r>
              <w:rPr>
                <w:b/>
                <w:sz w:val="20"/>
              </w:rPr>
              <w:t>Income before 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2,172,001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1,092,510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161,016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4,392,231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2,233,036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329,108</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Income taxes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(441,521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(691,141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(101,862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(865,152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(951,858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(140,287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660" w:type="dxa"/>
            <w:tcBorders/>
            <w:shd w:fill="FFFFFF" w:val="clear"/>
            <w:vAlign w:val="center"/>
          </w:tcPr>
          <w:p>
            <w:pPr>
              <w:pStyle w:val="TableContents"/>
              <w:bidi w:val="0"/>
              <w:spacing w:before="0" w:after="283"/>
              <w:jc w:val="left"/>
              <w:rPr>
                <w:b/>
                <w:sz w:val="20"/>
              </w:rPr>
            </w:pPr>
            <w:r>
              <w:rPr>
                <w:b/>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1,730,480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401,369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59,154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3,527,079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1,281,178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188,821</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r>
              <w:rPr>
                <w:sz w:val="20"/>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1,188</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b/>
                <w:sz w:val="20"/>
              </w:rPr>
            </w:pPr>
            <w:r>
              <w:rPr>
                <w:b/>
                <w:sz w:val="20"/>
              </w:rPr>
              <w:t>Net income attributable to ordinary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1,733,994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405,913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59,824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3,534,169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1,289,237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190,009</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Net income per ordinary share attributable to ordinary shareholders of Qfin Holdings,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0.78</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0.77</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Net income per ADS attributable to ordinary shareholders of Qfin Holdings,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1.56</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1.54</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Weighted average shares used in calculating net income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265,842,311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243,544,051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243,544,051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273,358,655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243,516,554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243,516,554</w:t>
            </w:r>
          </w:p>
        </w:tc>
        <w:tc>
          <w:tcPr>
            <w:tcW w:w="9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271,838,718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247,221,838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247,221,838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280,821,385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246,653,086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246,653,086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10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Cash Flows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of Renminbi (“RMB”) and U.S. dollars (“USD”)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number of shares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0"/>
        <w:gridCol w:w="60"/>
        <w:gridCol w:w="60"/>
        <w:gridCol w:w="950"/>
        <w:gridCol w:w="80"/>
        <w:gridCol w:w="60"/>
        <w:gridCol w:w="60"/>
        <w:gridCol w:w="905"/>
        <w:gridCol w:w="80"/>
        <w:gridCol w:w="60"/>
        <w:gridCol w:w="60"/>
        <w:gridCol w:w="845"/>
        <w:gridCol w:w="80"/>
        <w:gridCol w:w="60"/>
        <w:gridCol w:w="60"/>
        <w:gridCol w:w="1010"/>
        <w:gridCol w:w="80"/>
        <w:gridCol w:w="60"/>
        <w:gridCol w:w="60"/>
        <w:gridCol w:w="905"/>
        <w:gridCol w:w="80"/>
        <w:gridCol w:w="60"/>
        <w:gridCol w:w="60"/>
        <w:gridCol w:w="845"/>
        <w:gridCol w:w="95"/>
      </w:tblGrid>
      <w:tr>
        <w:trPr/>
        <w:tc>
          <w:tcPr>
            <w:tcW w:w="35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16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2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9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USD</w:t>
            </w:r>
          </w:p>
        </w:tc>
        <w:tc>
          <w:tcPr>
            <w:tcW w:w="9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2,622,004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1,085,112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159,926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5,427,689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3,182,482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469,040</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(8,191,142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(2,365,931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(348,695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(11,431,328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41,310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6,088</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1,995,605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(619,880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(91,359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7,444,676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(3,048,480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(449,290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530" w:type="dxa"/>
            <w:tcBorders/>
            <w:shd w:fill="FFFFFF" w:val="clear"/>
            <w:vAlign w:val="center"/>
          </w:tcPr>
          <w:p>
            <w:pPr>
              <w:pStyle w:val="TableContents"/>
              <w:bidi w:val="0"/>
              <w:spacing w:before="0" w:after="283"/>
              <w:jc w:val="left"/>
              <w:rPr>
                <w:sz w:val="20"/>
              </w:rPr>
            </w:pPr>
            <w:r>
              <w:rPr>
                <w:sz w:val="20"/>
              </w:rPr>
              <w:t>Effect of foreign exchange rate changes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(29,290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(23,547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(3,471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(34,411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(35,598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(5,247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530" w:type="dxa"/>
            <w:tcBorders/>
            <w:shd w:fill="CCEEFF" w:val="clear"/>
            <w:vAlign w:val="center"/>
          </w:tcPr>
          <w:p>
            <w:pPr>
              <w:pStyle w:val="TableContents"/>
              <w:bidi w:val="0"/>
              <w:spacing w:before="0" w:after="283"/>
              <w:jc w:val="left"/>
              <w:rPr>
                <w:sz w:val="20"/>
              </w:rPr>
            </w:pPr>
            <w:r>
              <w:rPr>
                <w:sz w:val="20"/>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(3,602,823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(1,924,246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(283,599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1,406,626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139,714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20,591</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sz w:val="20"/>
              </w:rPr>
            </w:pPr>
            <w:r>
              <w:rPr>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11,815,249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9,604,878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1,415,584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6,805,800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7,540,918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1,111,394</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8,212,426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7,680,632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1,131,985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8,212,426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7,680,632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1,131,985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11 / 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of Renminbi (“RMB”) and U.S. dollars (“USD”)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number of shares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8225" w:type="dxa"/>
        <w:jc w:val="left"/>
        <w:tblInd w:w="0" w:type="dxa"/>
        <w:tblLayout w:type="fixed"/>
        <w:tblCellMar>
          <w:top w:w="0" w:type="dxa"/>
          <w:left w:w="0" w:type="dxa"/>
          <w:bottom w:w="0" w:type="dxa"/>
          <w:right w:w="0" w:type="dxa"/>
        </w:tblCellMar>
      </w:tblPr>
      <w:tblGrid>
        <w:gridCol w:w="5225"/>
        <w:gridCol w:w="60"/>
        <w:gridCol w:w="60"/>
        <w:gridCol w:w="845"/>
        <w:gridCol w:w="80"/>
        <w:gridCol w:w="60"/>
        <w:gridCol w:w="60"/>
        <w:gridCol w:w="845"/>
        <w:gridCol w:w="80"/>
        <w:gridCol w:w="60"/>
        <w:gridCol w:w="60"/>
        <w:gridCol w:w="695"/>
        <w:gridCol w:w="95"/>
      </w:tblGrid>
      <w:tr>
        <w:trPr/>
        <w:tc>
          <w:tcPr>
            <w:tcW w:w="5225" w:type="dxa"/>
            <w:tcBorders/>
            <w:vAlign w:val="center"/>
          </w:tcPr>
          <w:p>
            <w:pPr>
              <w:pStyle w:val="TableContents"/>
              <w:bidi w:val="0"/>
              <w:spacing w:before="0" w:after="283"/>
              <w:jc w:val="right"/>
              <w:rPr>
                <w:color w:val="FF0000"/>
              </w:rPr>
            </w:pPr>
            <w:r>
              <w:rPr>
                <w:color w:val="FF0000"/>
              </w:rPr>
              <w:t> </w:t>
            </w:r>
          </w:p>
        </w:tc>
        <w:tc>
          <w:tcPr>
            <w:tcW w:w="60" w:type="dxa"/>
            <w:tcBorders/>
            <w:vAlign w:val="center"/>
          </w:tcPr>
          <w:p>
            <w:pPr>
              <w:pStyle w:val="TableContents"/>
              <w:bidi w:val="0"/>
              <w:spacing w:before="0" w:after="283"/>
              <w:jc w:val="left"/>
              <w:rPr/>
            </w:pPr>
            <w:r>
              <w:rPr/>
              <w:t> </w:t>
            </w:r>
          </w:p>
        </w:tc>
        <w:tc>
          <w:tcPr>
            <w:tcW w:w="284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9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right"/>
              <w:rPr>
                <w:color w:val="FF0000"/>
              </w:rPr>
            </w:pPr>
            <w:r>
              <w:rPr>
                <w:color w:val="FF0000"/>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b/>
                <w:sz w:val="20"/>
              </w:rPr>
            </w:pPr>
            <w:r>
              <w:rPr>
                <w:b/>
                <w:sz w:val="20"/>
              </w:rPr>
              <w:t>USD</w:t>
            </w:r>
          </w:p>
        </w:tc>
        <w:tc>
          <w:tcPr>
            <w:tcW w:w="9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sz w:val="20"/>
              </w:rPr>
            </w:pPr>
            <w:r>
              <w:rPr>
                <w:b/>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1,730,480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401,369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59,154</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sz w:val="20"/>
              </w:rPr>
            </w:pPr>
            <w:r>
              <w:rPr>
                <w:sz w:val="20"/>
              </w:rPr>
              <w:t>Other comprehensive income, net of tax of nil: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sz w:val="20"/>
              </w:rPr>
            </w:pPr>
            <w:r>
              <w:rPr>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(119,202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(19,102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(2,815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25" w:type="dxa"/>
            <w:tcBorders/>
            <w:shd w:fill="FFFFFF" w:val="clear"/>
            <w:vAlign w:val="center"/>
          </w:tcPr>
          <w:p>
            <w:pPr>
              <w:pStyle w:val="TableContents"/>
              <w:bidi w:val="0"/>
              <w:spacing w:before="0" w:after="283"/>
              <w:jc w:val="left"/>
              <w:rPr>
                <w:sz w:val="20"/>
              </w:rPr>
            </w:pPr>
            <w:r>
              <w:rPr>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(119,202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(19,102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(2,815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25" w:type="dxa"/>
            <w:tcBorders/>
            <w:shd w:fill="CCEEFF" w:val="clear"/>
            <w:vAlign w:val="center"/>
          </w:tcPr>
          <w:p>
            <w:pPr>
              <w:pStyle w:val="TableContents"/>
              <w:bidi w:val="0"/>
              <w:spacing w:before="0" w:after="283"/>
              <w:jc w:val="left"/>
              <w:rPr>
                <w:b/>
                <w:sz w:val="20"/>
              </w:rPr>
            </w:pPr>
            <w:r>
              <w:rPr>
                <w:b/>
                <w:sz w:val="20"/>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1,611,278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382,267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56,339</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sz w:val="20"/>
              </w:rPr>
            </w:pPr>
            <w:r>
              <w:rPr>
                <w:sz w:val="20"/>
              </w:rPr>
              <w:t>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670</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sz w:val="20"/>
              </w:rPr>
            </w:pPr>
            <w:r>
              <w:rPr>
                <w:b/>
                <w:sz w:val="20"/>
              </w:rPr>
              <w:t>Comprehensive income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1,614,792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386,811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57,009</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85" w:type="dxa"/>
            <w:gridSpan w:val="9"/>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Six months ended June 30, </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9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b/>
                <w:sz w:val="20"/>
              </w:rPr>
            </w:pPr>
            <w:r>
              <w:rPr>
                <w:b/>
                <w:sz w:val="20"/>
              </w:rPr>
              <w:t>RMB</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45" w:type="dxa"/>
            <w:tcBorders/>
            <w:shd w:fill="FFFFFF" w:val="clear"/>
            <w:vAlign w:val="center"/>
          </w:tcPr>
          <w:p>
            <w:pPr>
              <w:pStyle w:val="TableContents"/>
              <w:bidi w:val="0"/>
              <w:spacing w:before="0" w:after="283"/>
              <w:jc w:val="center"/>
              <w:rPr>
                <w:b/>
                <w:sz w:val="20"/>
              </w:rPr>
            </w:pPr>
            <w:r>
              <w:rPr>
                <w:b/>
                <w:sz w:val="20"/>
              </w:rPr>
              <w:t>RMB</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b/>
                <w:sz w:val="20"/>
              </w:rPr>
            </w:pPr>
            <w:r>
              <w:rPr>
                <w:b/>
                <w:sz w:val="20"/>
              </w:rPr>
              <w:t>USD</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sz w:val="20"/>
              </w:rPr>
            </w:pPr>
            <w:r>
              <w:rPr>
                <w:b/>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3,527,079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1,281,178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188,821</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sz w:val="20"/>
              </w:rPr>
            </w:pPr>
            <w:r>
              <w:rPr>
                <w:sz w:val="20"/>
              </w:rPr>
              <w:t>Other comprehensive income, net of tax of nil: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sz w:val="20"/>
              </w:rPr>
            </w:pPr>
            <w:r>
              <w:rPr>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(134,565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(52,940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(7,802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225" w:type="dxa"/>
            <w:tcBorders/>
            <w:shd w:fill="FFFFFF" w:val="clear"/>
            <w:vAlign w:val="center"/>
          </w:tcPr>
          <w:p>
            <w:pPr>
              <w:pStyle w:val="TableContents"/>
              <w:bidi w:val="0"/>
              <w:spacing w:before="0" w:after="283"/>
              <w:jc w:val="left"/>
              <w:rPr>
                <w:sz w:val="20"/>
              </w:rPr>
            </w:pPr>
            <w:r>
              <w:rPr>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(134,565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(52,940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(7,802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25" w:type="dxa"/>
            <w:tcBorders/>
            <w:shd w:fill="CCEEFF" w:val="clear"/>
            <w:vAlign w:val="center"/>
          </w:tcPr>
          <w:p>
            <w:pPr>
              <w:pStyle w:val="TableContents"/>
              <w:bidi w:val="0"/>
              <w:spacing w:before="0" w:after="283"/>
              <w:jc w:val="left"/>
              <w:rPr>
                <w:b/>
                <w:sz w:val="20"/>
              </w:rPr>
            </w:pPr>
            <w:r>
              <w:rPr>
                <w:b/>
                <w:sz w:val="20"/>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3,392,514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1,228,238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181,019</w:t>
            </w:r>
          </w:p>
        </w:tc>
        <w:tc>
          <w:tcPr>
            <w:tcW w:w="9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sz w:val="20"/>
              </w:rPr>
            </w:pPr>
            <w:r>
              <w:rPr>
                <w:sz w:val="20"/>
              </w:rPr>
              <w:t>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1,188</w:t>
            </w:r>
          </w:p>
        </w:tc>
        <w:tc>
          <w:tcPr>
            <w:tcW w:w="9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sz w:val="20"/>
              </w:rPr>
            </w:pPr>
            <w:r>
              <w:rPr>
                <w:b/>
                <w:sz w:val="20"/>
              </w:rPr>
              <w:t>Comprehensive income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3,399,604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1,236,297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182,207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12 /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GAAP and Non-GAAP Results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of Renminbi (“RMB”) and U.S. dollars (“USD”)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number of shares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35"/>
        <w:gridCol w:w="60"/>
        <w:gridCol w:w="60"/>
        <w:gridCol w:w="1055"/>
        <w:gridCol w:w="185"/>
        <w:gridCol w:w="60"/>
        <w:gridCol w:w="60"/>
        <w:gridCol w:w="1055"/>
        <w:gridCol w:w="185"/>
        <w:gridCol w:w="60"/>
        <w:gridCol w:w="60"/>
        <w:gridCol w:w="1055"/>
        <w:gridCol w:w="75"/>
      </w:tblGrid>
      <w:tr>
        <w:trPr/>
        <w:tc>
          <w:tcPr>
            <w:tcW w:w="6235" w:type="dxa"/>
            <w:tcBorders/>
            <w:vAlign w:val="center"/>
          </w:tcPr>
          <w:p>
            <w:pPr>
              <w:pStyle w:val="TableContents"/>
              <w:bidi w:val="0"/>
              <w:spacing w:before="0" w:after="283"/>
              <w:jc w:val="right"/>
              <w:rPr>
                <w:color w:val="FF0000"/>
              </w:rPr>
            </w:pPr>
            <w:r>
              <w:rPr>
                <w:color w:val="FF0000"/>
              </w:rPr>
              <w:t> </w:t>
            </w:r>
          </w:p>
        </w:tc>
        <w:tc>
          <w:tcPr>
            <w:tcW w:w="60" w:type="dxa"/>
            <w:tcBorders/>
            <w:vAlign w:val="center"/>
          </w:tcPr>
          <w:p>
            <w:pPr>
              <w:pStyle w:val="TableContents"/>
              <w:bidi w:val="0"/>
              <w:spacing w:before="0" w:after="283"/>
              <w:jc w:val="left"/>
              <w:rPr/>
            </w:pPr>
            <w:r>
              <w:rPr/>
              <w:t> </w:t>
            </w:r>
          </w:p>
        </w:tc>
        <w:tc>
          <w:tcPr>
            <w:tcW w:w="383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75" w:type="dxa"/>
            <w:tcBorders/>
            <w:vAlign w:val="center"/>
          </w:tcPr>
          <w:p>
            <w:pPr>
              <w:pStyle w:val="TableContents"/>
              <w:bidi w:val="0"/>
              <w:spacing w:before="0" w:after="283"/>
              <w:jc w:val="left"/>
              <w:rPr/>
            </w:pPr>
            <w:r>
              <w:rPr/>
              <w:t> </w:t>
            </w:r>
          </w:p>
        </w:tc>
      </w:tr>
      <w:tr>
        <w:trPr/>
        <w:tc>
          <w:tcPr>
            <w:tcW w:w="6235" w:type="dxa"/>
            <w:tcBorders/>
            <w:vAlign w:val="center"/>
          </w:tcPr>
          <w:p>
            <w:pPr>
              <w:pStyle w:val="TableContents"/>
              <w:bidi w:val="0"/>
              <w:spacing w:before="0" w:after="283"/>
              <w:jc w:val="center"/>
              <w:rPr>
                <w:color w:val="FF0000"/>
              </w:rPr>
            </w:pPr>
            <w:r>
              <w:rPr>
                <w:color w:val="FF0000"/>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center"/>
              <w:rPr/>
            </w:pPr>
            <w:r>
              <w:rPr/>
              <w:t> </w:t>
            </w:r>
          </w:p>
        </w:tc>
      </w:tr>
      <w:tr>
        <w:trPr/>
        <w:tc>
          <w:tcPr>
            <w:tcW w:w="6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left"/>
              <w:rPr/>
            </w:pPr>
            <w:r>
              <w:rPr/>
              <w:t> </w:t>
            </w:r>
          </w:p>
        </w:tc>
      </w:tr>
      <w:tr>
        <w:trPr/>
        <w:tc>
          <w:tcPr>
            <w:tcW w:w="7595" w:type="dxa"/>
            <w:gridSpan w:val="5"/>
            <w:tcBorders/>
            <w:shd w:fill="CCEEFF" w:val="clear"/>
            <w:vAlign w:val="center"/>
          </w:tcPr>
          <w:p>
            <w:pPr>
              <w:pStyle w:val="TableContents"/>
              <w:bidi w:val="0"/>
              <w:spacing w:before="0" w:after="283"/>
              <w:jc w:val="left"/>
              <w:rPr>
                <w:b/>
                <w:sz w:val="20"/>
              </w:rPr>
            </w:pPr>
            <w:r>
              <w:rPr>
                <w:b/>
                <w:sz w:val="20"/>
              </w:rPr>
              <w:t>Reconciliation of Non-GAAP Net Income to Net Income</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1,730,480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401,369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59,154</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118,484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53,482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7,882</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b/>
                <w:sz w:val="20"/>
              </w:rPr>
            </w:pPr>
            <w:r>
              <w:rPr>
                <w:b/>
                <w:sz w:val="20"/>
              </w:rPr>
              <w:t>Non-GAAP 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1,848,964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454,851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67,036</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GAAP net income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33.2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sz w:val="20"/>
              </w:rPr>
            </w:pPr>
            <w:r>
              <w:rPr>
                <w:sz w:val="20"/>
              </w:rPr>
              <w:t>Non-GAAP net income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35.4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b/>
                <w:sz w:val="20"/>
              </w:rPr>
            </w:pPr>
            <w:r>
              <w:rPr>
                <w:b/>
                <w:sz w:val="20"/>
              </w:rPr>
              <w:t>Net income attributable to shareholders of Qfin Holdings,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1,733,994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405,913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59,824</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118,484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53,482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7,882</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b/>
                <w:sz w:val="20"/>
              </w:rPr>
            </w:pPr>
            <w:r>
              <w:rPr>
                <w:b/>
                <w:sz w:val="20"/>
              </w:rPr>
              <w:t>Non-GAAP net income attributable to shareholders of Qfin Holdings, Inc.</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1,852,478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459,395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67,706</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Weighted average ADS used in calculating net income per ordinary share for both GAAP and non-GAAP EPS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135,919,359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123,610,919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123,610,919</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sz w:val="20"/>
              </w:rPr>
            </w:pPr>
            <w:r>
              <w:rPr>
                <w:sz w:val="20"/>
              </w:rPr>
              <w:t>Net income per ADS attributable to ordinary shareholders of Qfin Holdings, Inc. -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12.76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0.48</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Non-GAAP net income per ADS attributable to ordinary shareholders of Qfin Holdings, Inc.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0.55</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0205" w:type="dxa"/>
            <w:gridSpan w:val="13"/>
            <w:tcBorders/>
            <w:shd w:fill="CCEEFF" w:val="clear"/>
            <w:vAlign w:val="center"/>
          </w:tcPr>
          <w:p>
            <w:pPr>
              <w:pStyle w:val="TableContents"/>
              <w:bidi w:val="0"/>
              <w:spacing w:before="0" w:after="283"/>
              <w:jc w:val="left"/>
              <w:rPr>
                <w:b/>
                <w:sz w:val="20"/>
              </w:rPr>
            </w:pPr>
            <w:r>
              <w:rPr>
                <w:b/>
                <w:sz w:val="20"/>
              </w:rPr>
              <w:t>Reconciliation of Non-GAAP Income from operations to Income from operations</w:t>
            </w:r>
          </w:p>
        </w:tc>
      </w:tr>
      <w:tr>
        <w:trPr/>
        <w:tc>
          <w:tcPr>
            <w:tcW w:w="6235" w:type="dxa"/>
            <w:tcBorders/>
            <w:shd w:fill="FFFFFF" w:val="clear"/>
            <w:vAlign w:val="center"/>
          </w:tcPr>
          <w:p>
            <w:pPr>
              <w:pStyle w:val="TableContents"/>
              <w:bidi w:val="0"/>
              <w:spacing w:before="0" w:after="283"/>
              <w:jc w:val="left"/>
              <w:rPr>
                <w:sz w:val="20"/>
              </w:rPr>
            </w:pPr>
            <w:r>
              <w:rPr>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2,136,185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1,160,979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171,108</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118,484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53,482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7,882</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b/>
                <w:sz w:val="20"/>
              </w:rPr>
            </w:pPr>
            <w:r>
              <w:rPr>
                <w:b/>
                <w:sz w:val="20"/>
              </w:rPr>
              <w:t>Non-GAAP 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2,254,669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1,214,461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178,990</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GAAP operating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41.0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32.6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sz w:val="20"/>
              </w:rPr>
            </w:pPr>
            <w:r>
              <w:rPr>
                <w:sz w:val="20"/>
              </w:rPr>
              <w:t>Non-GAAP operating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43.2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34.1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right"/>
              <w:rPr>
                <w:color w:val="FF0000"/>
              </w:rPr>
            </w:pPr>
            <w:r>
              <w:rPr>
                <w:color w:val="FF0000"/>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775" w:type="dxa"/>
            <w:gridSpan w:val="9"/>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Six months ended June 30, </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right"/>
              <w:rPr>
                <w:color w:val="FF0000"/>
              </w:rPr>
            </w:pPr>
            <w:r>
              <w:rPr>
                <w:color w:val="FF0000"/>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2025</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2026</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2026</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b/>
                <w:sz w:val="20"/>
              </w:rPr>
            </w:pPr>
            <w:r>
              <w:rPr>
                <w:b/>
                <w:sz w:val="20"/>
              </w:rPr>
              <w:t>RMB</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b/>
                <w:sz w:val="20"/>
              </w:rPr>
            </w:pPr>
            <w:r>
              <w:rPr>
                <w:b/>
                <w:sz w:val="20"/>
              </w:rPr>
              <w:t>RMB</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b/>
                <w:sz w:val="20"/>
              </w:rPr>
            </w:pPr>
            <w:r>
              <w:rPr>
                <w:b/>
                <w:sz w:val="20"/>
              </w:rPr>
              <w:t>USD</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b/>
                <w:sz w:val="20"/>
              </w:rPr>
            </w:pPr>
            <w:r>
              <w:rPr>
                <w:b/>
                <w:sz w:val="20"/>
              </w:rPr>
              <w:t>Reconciliation of Non-GAAP Net Income to 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3,527,079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1,281,178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188,821</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248,098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119,575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17,623</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b/>
                <w:sz w:val="20"/>
              </w:rPr>
            </w:pPr>
            <w:r>
              <w:rPr>
                <w:b/>
                <w:sz w:val="20"/>
              </w:rPr>
              <w:t>Non-GAAP 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3,775,177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1,400,753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206,444</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GAAP net income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35.6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sz w:val="20"/>
              </w:rPr>
            </w:pPr>
            <w:r>
              <w:rPr>
                <w:sz w:val="20"/>
              </w:rPr>
              <w:t>Non-GAAP net income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38.1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18.7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b/>
                <w:sz w:val="20"/>
              </w:rPr>
            </w:pPr>
            <w:r>
              <w:rPr>
                <w:b/>
                <w:sz w:val="20"/>
              </w:rPr>
              <w:t>Net income attributable to shareholders of Qfin Holdings,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3,534,169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1,289,237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190,009</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248,098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119,575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17,623</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b/>
                <w:sz w:val="20"/>
              </w:rPr>
            </w:pPr>
            <w:r>
              <w:rPr>
                <w:b/>
                <w:sz w:val="20"/>
              </w:rPr>
              <w:t>Non-GAAP net income attributable to shareholders of Qfin Holdings, Inc.</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3,782,267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1,408,812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207,632</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Weighted average ADS used in calculating net income per ordinary share for both GAAP and non-GAAP EPS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140,410,693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123,326,543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123,326,543</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sz w:val="20"/>
              </w:rPr>
            </w:pPr>
            <w:r>
              <w:rPr>
                <w:sz w:val="20"/>
              </w:rPr>
              <w:t>Net income per ADS attributable to ordinary shareholders of Qfin Holdings, Inc. -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25.18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10.46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1.54</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Non-GAAP net income per ADS attributable to ordinary shareholders of Qfin Holdings, Inc.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26.94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1.68</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0205" w:type="dxa"/>
            <w:gridSpan w:val="13"/>
            <w:tcBorders/>
            <w:shd w:fill="CCEEFF" w:val="clear"/>
            <w:vAlign w:val="center"/>
          </w:tcPr>
          <w:p>
            <w:pPr>
              <w:pStyle w:val="TableContents"/>
              <w:bidi w:val="0"/>
              <w:spacing w:before="0" w:after="283"/>
              <w:jc w:val="left"/>
              <w:rPr>
                <w:b/>
                <w:sz w:val="20"/>
              </w:rPr>
            </w:pPr>
            <w:r>
              <w:rPr>
                <w:b/>
                <w:sz w:val="20"/>
              </w:rPr>
              <w:t>Reconciliation of Non-GAAP Income from operations to Income from operations</w:t>
            </w:r>
          </w:p>
        </w:tc>
      </w:tr>
      <w:tr>
        <w:trPr/>
        <w:tc>
          <w:tcPr>
            <w:tcW w:w="6235" w:type="dxa"/>
            <w:tcBorders/>
            <w:shd w:fill="FFFFFF" w:val="clear"/>
            <w:vAlign w:val="center"/>
          </w:tcPr>
          <w:p>
            <w:pPr>
              <w:pStyle w:val="TableContents"/>
              <w:bidi w:val="0"/>
              <w:spacing w:before="0" w:after="283"/>
              <w:jc w:val="left"/>
              <w:rPr>
                <w:sz w:val="20"/>
              </w:rPr>
            </w:pPr>
            <w:r>
              <w:rPr>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4,110,918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2,139,841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315,373</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248,098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119,575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17,623</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b/>
                <w:sz w:val="20"/>
              </w:rPr>
            </w:pPr>
            <w:r>
              <w:rPr>
                <w:b/>
                <w:sz w:val="20"/>
              </w:rPr>
              <w:t>Non-GAAP 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4,359,016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2,259,416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332,996</w:t>
            </w:r>
          </w:p>
        </w:tc>
        <w:tc>
          <w:tcPr>
            <w:tcW w:w="75" w:type="dxa"/>
            <w:tcBorders/>
            <w:shd w:fill="FFFFFF" w:val="clear"/>
            <w:vAlign w:val="center"/>
          </w:tcPr>
          <w:p>
            <w:pPr>
              <w:pStyle w:val="TableContents"/>
              <w:bidi w:val="0"/>
              <w:spacing w:before="0" w:after="283"/>
              <w:jc w:val="left"/>
              <w:rPr/>
            </w:pPr>
            <w:r>
              <w:rPr/>
              <w:t> </w:t>
            </w:r>
          </w:p>
        </w:tc>
      </w:tr>
      <w:tr>
        <w:trPr/>
        <w:tc>
          <w:tcPr>
            <w:tcW w:w="6235" w:type="dxa"/>
            <w:tcBorders/>
            <w:shd w:fill="CCEEFF" w:val="clear"/>
            <w:vAlign w:val="center"/>
          </w:tcPr>
          <w:p>
            <w:pPr>
              <w:pStyle w:val="TableContents"/>
              <w:bidi w:val="0"/>
              <w:spacing w:before="0" w:after="283"/>
              <w:jc w:val="left"/>
              <w:rPr>
                <w:sz w:val="20"/>
              </w:rPr>
            </w:pPr>
            <w:r>
              <w:rPr>
                <w:sz w:val="20"/>
              </w:rPr>
              <w:t>GAAP operating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41.5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5" w:type="dxa"/>
            <w:tcBorders/>
            <w:shd w:fill="FFFFFF" w:val="clear"/>
            <w:vAlign w:val="center"/>
          </w:tcPr>
          <w:p>
            <w:pPr>
              <w:pStyle w:val="TableContents"/>
              <w:bidi w:val="0"/>
              <w:spacing w:before="0" w:after="283"/>
              <w:jc w:val="left"/>
              <w:rPr>
                <w:sz w:val="20"/>
              </w:rPr>
            </w:pPr>
            <w:r>
              <w:rPr>
                <w:sz w:val="20"/>
              </w:rPr>
              <w:t>Non-GAAP operating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44.0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30.2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sz w:val="20"/>
          <w:bdr w:val="single" w:sz="8" w:space="1" w:color="000000"/>
        </w:rPr>
      </w:pPr>
      <w:r>
        <w:rPr>
          <w:rFonts w:ascii="Times New Roman;Times;Serif" w:hAnsi="Times New Roman;Times;Serif"/>
          <w:b/>
          <w:sz w:val="20"/>
          <w:bdr w:val="single" w:sz="8" w:space="1" w:color="000000"/>
        </w:rPr>
        <w:t>13 / 13</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5896</Words>
  <Characters>34107</Characters>
  <CharactersWithSpaces>41290</CharactersWithSpaces>
  <Paragraphs>3088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